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55"/>
        <w:jc w:val="center"/>
        <w:rPr>
          <w:rStyle w:val="10"/>
          <w:rFonts w:hint="eastAsia" w:ascii="楷体_GB2312" w:eastAsia="楷体_GB2312"/>
          <w:color w:val="000000"/>
          <w:sz w:val="44"/>
          <w:szCs w:val="44"/>
        </w:rPr>
      </w:pPr>
      <w:bookmarkStart w:id="27" w:name="_GoBack"/>
      <w:r>
        <w:rPr>
          <w:rStyle w:val="10"/>
          <w:rFonts w:hint="eastAsia" w:ascii="楷体_GB2312" w:eastAsia="楷体_GB2312"/>
          <w:color w:val="000000"/>
          <w:sz w:val="44"/>
          <w:szCs w:val="44"/>
          <w:lang w:eastAsia="zh-CN"/>
        </w:rPr>
        <w:t>巴中市巴州区曾口</w:t>
      </w:r>
      <w:r>
        <w:rPr>
          <w:rStyle w:val="10"/>
          <w:rFonts w:hint="eastAsia" w:ascii="楷体_GB2312" w:eastAsia="楷体_GB2312"/>
          <w:color w:val="000000"/>
          <w:sz w:val="44"/>
          <w:szCs w:val="44"/>
        </w:rPr>
        <w:t>镇</w:t>
      </w:r>
      <w:r>
        <w:rPr>
          <w:rStyle w:val="10"/>
          <w:rFonts w:hint="eastAsia" w:ascii="楷体_GB2312" w:eastAsia="楷体_GB2312"/>
          <w:color w:val="000000"/>
          <w:sz w:val="44"/>
          <w:szCs w:val="44"/>
          <w:lang w:eastAsia="zh-CN"/>
        </w:rPr>
        <w:t>人民政府</w:t>
      </w:r>
      <w:r>
        <w:rPr>
          <w:rStyle w:val="10"/>
          <w:rFonts w:hint="eastAsia" w:ascii="楷体_GB2312" w:eastAsia="楷体_GB2312"/>
          <w:color w:val="000000"/>
          <w:sz w:val="44"/>
          <w:szCs w:val="44"/>
          <w:lang w:val="en-US" w:eastAsia="zh-CN"/>
        </w:rPr>
        <w:t>农业综合服务中心2022</w:t>
      </w:r>
      <w:r>
        <w:rPr>
          <w:rStyle w:val="10"/>
          <w:rFonts w:hint="eastAsia" w:ascii="楷体_GB2312" w:eastAsia="楷体_GB2312"/>
          <w:color w:val="000000"/>
          <w:sz w:val="44"/>
          <w:szCs w:val="44"/>
        </w:rPr>
        <w:t>年</w:t>
      </w:r>
      <w:r>
        <w:rPr>
          <w:rStyle w:val="10"/>
          <w:rFonts w:hint="eastAsia" w:ascii="楷体_GB2312" w:eastAsia="楷体_GB2312"/>
          <w:color w:val="000000"/>
          <w:sz w:val="44"/>
          <w:szCs w:val="44"/>
          <w:lang w:eastAsia="zh-CN"/>
        </w:rPr>
        <w:t>单位</w:t>
      </w:r>
      <w:r>
        <w:rPr>
          <w:rStyle w:val="10"/>
          <w:rFonts w:hint="eastAsia" w:ascii="楷体_GB2312" w:eastAsia="楷体_GB2312"/>
          <w:color w:val="000000"/>
          <w:sz w:val="44"/>
          <w:szCs w:val="44"/>
        </w:rPr>
        <w:t>预算编制说明</w:t>
      </w:r>
      <w:bookmarkEnd w:id="27"/>
    </w:p>
    <w:p>
      <w:pPr>
        <w:pStyle w:val="2"/>
        <w:ind w:firstLine="3534" w:firstLineChars="800"/>
        <w:jc w:val="both"/>
        <w:rPr>
          <w:rStyle w:val="10"/>
          <w:rFonts w:hint="eastAsia" w:ascii="楷体_GB2312" w:eastAsia="楷体_GB2312"/>
          <w:color w:val="000000"/>
          <w:sz w:val="44"/>
          <w:szCs w:val="44"/>
          <w:lang w:val="en-US" w:eastAsia="zh-CN"/>
        </w:rPr>
      </w:pPr>
    </w:p>
    <w:p>
      <w:pPr>
        <w:pStyle w:val="2"/>
        <w:jc w:val="center"/>
        <w:rPr>
          <w:rStyle w:val="10"/>
          <w:rFonts w:hint="eastAsia" w:ascii="楷体_GB2312" w:eastAsia="楷体_GB2312"/>
          <w:color w:val="000000"/>
          <w:sz w:val="32"/>
          <w:szCs w:val="32"/>
        </w:rPr>
      </w:pPr>
      <w:r>
        <w:rPr>
          <w:rStyle w:val="10"/>
          <w:rFonts w:hint="eastAsia" w:ascii="楷体_GB2312" w:eastAsia="楷体_GB2312"/>
          <w:color w:val="000000"/>
          <w:sz w:val="32"/>
          <w:szCs w:val="32"/>
          <w:lang w:val="en-US" w:eastAsia="zh-CN"/>
        </w:rPr>
        <w:t>2022年8月25日</w:t>
      </w:r>
    </w:p>
    <w:sdt>
      <w:sdtPr>
        <w:rPr>
          <w:rFonts w:ascii="宋体" w:hAnsi="宋体" w:eastAsia="宋体" w:cstheme="minorBidi"/>
          <w:kern w:val="2"/>
          <w:sz w:val="21"/>
          <w:szCs w:val="22"/>
          <w:lang w:val="en-US" w:eastAsia="zh-CN" w:bidi="ar-SA"/>
        </w:rPr>
        <w:id w:val="147483544"/>
        <w15:color w:val="DBDBDB"/>
        <w:docPartObj>
          <w:docPartGallery w:val="Table of Contents"/>
          <w:docPartUnique/>
        </w:docPartObj>
      </w:sdtPr>
      <w:sdtEndPr>
        <w:rPr>
          <w:rFonts w:hint="eastAsia" w:asciiTheme="minorHAnsi" w:hAnsiTheme="minorHAnsi" w:eastAsiaTheme="minorEastAsia" w:cstheme="minorBidi"/>
          <w:b/>
          <w:kern w:val="2"/>
          <w:sz w:val="18"/>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w:t>
          </w:r>
          <w:r>
            <w:rPr>
              <w:rFonts w:hint="eastAsia" w:ascii="宋体" w:hAnsi="宋体" w:eastAsia="宋体"/>
              <w:sz w:val="21"/>
              <w:lang w:val="en-US" w:eastAsia="zh-CN"/>
            </w:rPr>
            <w:t xml:space="preserve">      </w:t>
          </w:r>
          <w:r>
            <w:rPr>
              <w:rFonts w:ascii="宋体" w:hAnsi="宋体" w:eastAsia="宋体"/>
              <w:sz w:val="21"/>
            </w:rPr>
            <w:t>录</w:t>
          </w:r>
        </w:p>
        <w:p>
          <w:pPr>
            <w:pStyle w:val="2"/>
          </w:pPr>
        </w:p>
        <w:p>
          <w:pPr>
            <w:pStyle w:val="6"/>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_Toc31135 </w:instrText>
          </w:r>
          <w:r>
            <w:rPr>
              <w:rFonts w:hint="eastAsia"/>
            </w:rPr>
            <w:fldChar w:fldCharType="separate"/>
          </w:r>
          <w:r>
            <w:rPr>
              <w:rFonts w:hint="eastAsia" w:ascii="黑体" w:hAnsi="黑体" w:eastAsia="黑体"/>
              <w:bCs/>
              <w:szCs w:val="28"/>
            </w:rPr>
            <w:t>一、基本职能</w:t>
          </w:r>
          <w:r>
            <w:rPr>
              <w:rFonts w:hint="eastAsia" w:ascii="黑体" w:hAnsi="黑体" w:eastAsia="黑体"/>
              <w:bCs/>
              <w:szCs w:val="28"/>
              <w:lang w:eastAsia="zh-CN"/>
            </w:rPr>
            <w:t>及主要工作</w:t>
          </w:r>
          <w:r>
            <w:tab/>
          </w:r>
          <w:r>
            <w:fldChar w:fldCharType="begin"/>
          </w:r>
          <w:r>
            <w:instrText xml:space="preserve"> PAGEREF _Toc31135 \h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_Toc2314 </w:instrText>
          </w:r>
          <w:r>
            <w:rPr>
              <w:rFonts w:hint="eastAsia"/>
            </w:rPr>
            <w:fldChar w:fldCharType="separate"/>
          </w:r>
          <w:r>
            <w:rPr>
              <w:rFonts w:hint="eastAsia" w:ascii="楷体_GB2312" w:eastAsia="楷体_GB2312"/>
              <w:bCs/>
              <w:szCs w:val="28"/>
            </w:rPr>
            <w:t>（一）主要职责</w:t>
          </w:r>
          <w:r>
            <w:tab/>
          </w:r>
          <w:r>
            <w:fldChar w:fldCharType="begin"/>
          </w:r>
          <w:r>
            <w:instrText xml:space="preserve"> PAGEREF _Toc2314 \h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_Toc25537 </w:instrText>
          </w:r>
          <w:r>
            <w:rPr>
              <w:rFonts w:hint="eastAsia"/>
            </w:rPr>
            <w:fldChar w:fldCharType="separate"/>
          </w:r>
          <w:r>
            <w:rPr>
              <w:rFonts w:hint="eastAsia" w:ascii="楷体_GB2312" w:eastAsia="楷体_GB2312"/>
              <w:bCs/>
              <w:szCs w:val="28"/>
            </w:rPr>
            <w:t>（</w:t>
          </w:r>
          <w:r>
            <w:rPr>
              <w:rFonts w:hint="eastAsia" w:ascii="楷体_GB2312" w:eastAsia="楷体_GB2312"/>
              <w:bCs/>
              <w:szCs w:val="28"/>
              <w:lang w:eastAsia="zh-CN"/>
            </w:rPr>
            <w:t>二</w:t>
          </w:r>
          <w:r>
            <w:rPr>
              <w:rFonts w:hint="eastAsia" w:ascii="楷体_GB2312" w:eastAsia="楷体_GB2312"/>
              <w:bCs/>
              <w:szCs w:val="28"/>
            </w:rPr>
            <w:t>）</w:t>
          </w:r>
          <w:r>
            <w:rPr>
              <w:rFonts w:hint="eastAsia" w:ascii="楷体_GB2312" w:eastAsia="楷体_GB2312"/>
              <w:bCs/>
              <w:szCs w:val="28"/>
              <w:lang w:val="en-US" w:eastAsia="zh-CN"/>
            </w:rPr>
            <w:t>2022年重点工作</w:t>
          </w:r>
          <w:r>
            <w:tab/>
          </w:r>
          <w:r>
            <w:fldChar w:fldCharType="begin"/>
          </w:r>
          <w:r>
            <w:instrText xml:space="preserve"> PAGEREF _Toc25537 \h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_Toc23715 </w:instrText>
          </w:r>
          <w:r>
            <w:rPr>
              <w:rFonts w:hint="eastAsia"/>
            </w:rPr>
            <w:fldChar w:fldCharType="separate"/>
          </w:r>
          <w:r>
            <w:rPr>
              <w:rFonts w:hint="eastAsia" w:ascii="黑体" w:hAnsi="黑体" w:eastAsia="黑体"/>
              <w:szCs w:val="28"/>
              <w:lang w:val="en-US" w:eastAsia="zh-CN"/>
            </w:rPr>
            <w:t>二、 机构设置情况</w:t>
          </w:r>
          <w:r>
            <w:tab/>
          </w:r>
          <w:r>
            <w:fldChar w:fldCharType="begin"/>
          </w:r>
          <w:r>
            <w:instrText xml:space="preserve"> PAGEREF _Toc23715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_Toc11032 </w:instrText>
          </w:r>
          <w:r>
            <w:rPr>
              <w:rFonts w:hint="eastAsia"/>
            </w:rPr>
            <w:fldChar w:fldCharType="separate"/>
          </w:r>
          <w:r>
            <w:rPr>
              <w:rFonts w:hint="eastAsia" w:ascii="仿宋_GB2312" w:eastAsia="仿宋_GB2312"/>
              <w:szCs w:val="28"/>
              <w:shd w:val="clear" w:fill="FFFFFF"/>
              <w:lang w:val="en-US" w:eastAsia="zh-CN"/>
            </w:rPr>
            <w:t xml:space="preserve">三、 </w:t>
          </w:r>
          <w:r>
            <w:rPr>
              <w:rFonts w:hint="eastAsia" w:ascii="黑体" w:hAnsi="黑体" w:eastAsia="黑体"/>
              <w:bCs/>
              <w:szCs w:val="28"/>
              <w:lang w:val="en-US" w:eastAsia="zh-CN"/>
            </w:rPr>
            <w:t>收支预算情况说明</w:t>
          </w:r>
          <w:r>
            <w:tab/>
          </w:r>
          <w:r>
            <w:fldChar w:fldCharType="begin"/>
          </w:r>
          <w:r>
            <w:instrText xml:space="preserve"> PAGEREF _Toc11032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_Toc22492 </w:instrText>
          </w:r>
          <w:r>
            <w:rPr>
              <w:rFonts w:hint="eastAsia"/>
            </w:rPr>
            <w:fldChar w:fldCharType="separate"/>
          </w:r>
          <w:r>
            <w:rPr>
              <w:rFonts w:hint="eastAsia" w:ascii="仿宋_GB2312" w:eastAsia="仿宋_GB2312"/>
              <w:szCs w:val="28"/>
              <w:shd w:val="clear" w:fill="FFFFFF"/>
            </w:rPr>
            <w:t xml:space="preserve">（一） </w:t>
          </w:r>
          <w:r>
            <w:rPr>
              <w:rFonts w:hint="eastAsia" w:ascii="楷体_GB2312" w:eastAsia="楷体_GB2312"/>
              <w:szCs w:val="28"/>
            </w:rPr>
            <w:t>收入预算情况。</w:t>
          </w:r>
          <w:r>
            <w:tab/>
          </w:r>
          <w:r>
            <w:fldChar w:fldCharType="begin"/>
          </w:r>
          <w:r>
            <w:instrText xml:space="preserve"> PAGEREF _Toc22492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_Toc32474 </w:instrText>
          </w:r>
          <w:r>
            <w:rPr>
              <w:rFonts w:hint="eastAsia"/>
            </w:rPr>
            <w:fldChar w:fldCharType="separate"/>
          </w:r>
          <w:r>
            <w:rPr>
              <w:rFonts w:hint="eastAsia" w:ascii="仿宋_GB2312" w:eastAsia="仿宋_GB2312"/>
              <w:szCs w:val="28"/>
              <w:shd w:val="clear" w:fill="FFFFFF"/>
              <w:lang w:val="en-US" w:eastAsia="zh-CN"/>
            </w:rPr>
            <w:t xml:space="preserve">（二） </w:t>
          </w:r>
          <w:r>
            <w:rPr>
              <w:rFonts w:hint="eastAsia" w:ascii="楷体_GB2312" w:eastAsia="楷体_GB2312"/>
              <w:szCs w:val="28"/>
            </w:rPr>
            <w:t>支出预算情况。</w:t>
          </w:r>
          <w:r>
            <w:tab/>
          </w:r>
          <w:r>
            <w:fldChar w:fldCharType="begin"/>
          </w:r>
          <w:r>
            <w:instrText xml:space="preserve"> PAGEREF _Toc32474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_Toc24816 </w:instrText>
          </w:r>
          <w:r>
            <w:rPr>
              <w:rFonts w:hint="eastAsia"/>
            </w:rPr>
            <w:fldChar w:fldCharType="separate"/>
          </w:r>
          <w:r>
            <w:rPr>
              <w:rFonts w:hint="eastAsia" w:ascii="黑体" w:hAnsi="黑体" w:eastAsia="黑体"/>
              <w:bCs/>
              <w:szCs w:val="28"/>
            </w:rPr>
            <w:t>四、 财政拨款收支预算情况说明</w:t>
          </w:r>
          <w:r>
            <w:tab/>
          </w:r>
          <w:r>
            <w:fldChar w:fldCharType="begin"/>
          </w:r>
          <w:r>
            <w:instrText xml:space="preserve"> PAGEREF _Toc24816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_Toc22703 </w:instrText>
          </w:r>
          <w:r>
            <w:rPr>
              <w:rFonts w:hint="eastAsia"/>
            </w:rPr>
            <w:fldChar w:fldCharType="separate"/>
          </w:r>
          <w:r>
            <w:rPr>
              <w:rFonts w:hint="eastAsia" w:ascii="黑体" w:hAnsi="黑体" w:eastAsia="黑体"/>
              <w:bCs/>
              <w:szCs w:val="28"/>
            </w:rPr>
            <w:t>五、 一般公共预算当年拨款情况说明</w:t>
          </w:r>
          <w:r>
            <w:tab/>
          </w:r>
          <w:r>
            <w:fldChar w:fldCharType="begin"/>
          </w:r>
          <w:r>
            <w:instrText xml:space="preserve"> PAGEREF _Toc22703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_Toc28121 </w:instrText>
          </w:r>
          <w:r>
            <w:rPr>
              <w:rFonts w:hint="eastAsia"/>
            </w:rPr>
            <w:fldChar w:fldCharType="separate"/>
          </w:r>
          <w:r>
            <w:rPr>
              <w:rFonts w:hint="eastAsia" w:ascii="楷体_GB2312" w:eastAsia="楷体_GB2312"/>
              <w:szCs w:val="28"/>
            </w:rPr>
            <w:t>（一） 一般公共预算当年拨款规模变化情况。</w:t>
          </w:r>
          <w:r>
            <w:tab/>
          </w:r>
          <w:r>
            <w:fldChar w:fldCharType="begin"/>
          </w:r>
          <w:r>
            <w:instrText xml:space="preserve"> PAGEREF _Toc28121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_Toc30166 </w:instrText>
          </w:r>
          <w:r>
            <w:rPr>
              <w:rFonts w:hint="eastAsia"/>
            </w:rPr>
            <w:fldChar w:fldCharType="separate"/>
          </w:r>
          <w:r>
            <w:rPr>
              <w:rFonts w:hint="eastAsia" w:ascii="楷体_GB2312" w:eastAsia="楷体_GB2312"/>
              <w:szCs w:val="28"/>
            </w:rPr>
            <w:t>（二） 一般公共预算当年拨款结构情况。</w:t>
          </w:r>
          <w:r>
            <w:tab/>
          </w:r>
          <w:r>
            <w:fldChar w:fldCharType="begin"/>
          </w:r>
          <w:r>
            <w:instrText xml:space="preserve"> PAGEREF _Toc30166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_Toc4451 </w:instrText>
          </w:r>
          <w:r>
            <w:rPr>
              <w:rFonts w:hint="eastAsia"/>
            </w:rPr>
            <w:fldChar w:fldCharType="separate"/>
          </w:r>
          <w:r>
            <w:rPr>
              <w:rFonts w:hint="eastAsia" w:ascii="楷体_GB2312" w:eastAsia="楷体_GB2312"/>
              <w:szCs w:val="28"/>
            </w:rPr>
            <w:t>（三） 一般公共预算当年拨款具体使用情况。</w:t>
          </w:r>
          <w:r>
            <w:tab/>
          </w:r>
          <w:r>
            <w:fldChar w:fldCharType="begin"/>
          </w:r>
          <w:r>
            <w:instrText xml:space="preserve"> PAGEREF _Toc4451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_Toc18019 </w:instrText>
          </w:r>
          <w:r>
            <w:rPr>
              <w:rFonts w:hint="eastAsia"/>
            </w:rPr>
            <w:fldChar w:fldCharType="separate"/>
          </w:r>
          <w:r>
            <w:rPr>
              <w:rFonts w:hint="eastAsia" w:ascii="黑体" w:hAnsi="黑体" w:eastAsia="黑体"/>
              <w:szCs w:val="28"/>
            </w:rPr>
            <w:t>六、一般公共预算基本支出情况说明</w:t>
          </w:r>
          <w:r>
            <w:tab/>
          </w:r>
          <w:r>
            <w:fldChar w:fldCharType="begin"/>
          </w:r>
          <w:r>
            <w:instrText xml:space="preserve"> PAGEREF _Toc18019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_Toc27100 </w:instrText>
          </w:r>
          <w:r>
            <w:rPr>
              <w:rFonts w:hint="eastAsia"/>
            </w:rPr>
            <w:fldChar w:fldCharType="separate"/>
          </w:r>
          <w:r>
            <w:rPr>
              <w:rFonts w:hint="eastAsia" w:ascii="黑体" w:hAnsi="黑体" w:eastAsia="黑体"/>
              <w:szCs w:val="28"/>
              <w:lang w:eastAsia="zh-CN"/>
            </w:rPr>
            <w:t>七、</w:t>
          </w:r>
          <w:r>
            <w:rPr>
              <w:rFonts w:hint="eastAsia" w:ascii="黑体" w:hAnsi="黑体" w:eastAsia="黑体"/>
              <w:szCs w:val="28"/>
            </w:rPr>
            <w:t>“三公”经费财政拨款预算安排情况说明</w:t>
          </w:r>
          <w:r>
            <w:tab/>
          </w:r>
          <w:r>
            <w:fldChar w:fldCharType="begin"/>
          </w:r>
          <w:r>
            <w:instrText xml:space="preserve"> PAGEREF _Toc27100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_Toc27574 </w:instrText>
          </w:r>
          <w:r>
            <w:rPr>
              <w:rFonts w:hint="eastAsia"/>
            </w:rPr>
            <w:fldChar w:fldCharType="separate"/>
          </w:r>
          <w:r>
            <w:rPr>
              <w:rFonts w:hint="eastAsia" w:ascii="楷体_GB2312" w:eastAsia="楷体_GB2312"/>
              <w:szCs w:val="28"/>
            </w:rPr>
            <w:t>（一） 因公出国（境）经费与</w:t>
          </w:r>
          <w:r>
            <w:rPr>
              <w:rFonts w:hint="eastAsia" w:ascii="楷体_GB2312" w:eastAsia="楷体_GB2312"/>
              <w:szCs w:val="28"/>
              <w:lang w:eastAsia="zh-CN"/>
            </w:rPr>
            <w:t>20</w:t>
          </w:r>
          <w:r>
            <w:rPr>
              <w:rFonts w:hint="eastAsia" w:ascii="楷体_GB2312" w:eastAsia="楷体_GB2312"/>
              <w:szCs w:val="28"/>
              <w:lang w:val="en-US" w:eastAsia="zh-CN"/>
            </w:rPr>
            <w:t>21</w:t>
          </w:r>
          <w:r>
            <w:rPr>
              <w:rFonts w:hint="eastAsia" w:ascii="楷体_GB2312" w:eastAsia="楷体_GB2312"/>
              <w:szCs w:val="28"/>
            </w:rPr>
            <w:t>年预算持平。</w:t>
          </w:r>
          <w:r>
            <w:tab/>
          </w:r>
          <w:r>
            <w:fldChar w:fldCharType="begin"/>
          </w:r>
          <w:r>
            <w:instrText xml:space="preserve"> PAGEREF _Toc27574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_Toc17995 </w:instrText>
          </w:r>
          <w:r>
            <w:rPr>
              <w:rFonts w:hint="eastAsia"/>
            </w:rPr>
            <w:fldChar w:fldCharType="separate"/>
          </w:r>
          <w:r>
            <w:rPr>
              <w:rFonts w:hint="eastAsia" w:ascii="楷体_GB2312" w:eastAsia="楷体_GB2312"/>
              <w:szCs w:val="28"/>
            </w:rPr>
            <w:t>（二） 公务接待费较</w:t>
          </w:r>
          <w:r>
            <w:rPr>
              <w:rFonts w:hint="eastAsia" w:ascii="楷体_GB2312" w:eastAsia="楷体_GB2312"/>
              <w:szCs w:val="28"/>
              <w:lang w:eastAsia="zh-CN"/>
            </w:rPr>
            <w:t>20</w:t>
          </w:r>
          <w:r>
            <w:rPr>
              <w:rFonts w:hint="eastAsia" w:ascii="楷体_GB2312" w:eastAsia="楷体_GB2312"/>
              <w:szCs w:val="28"/>
              <w:lang w:val="en-US" w:eastAsia="zh-CN"/>
            </w:rPr>
            <w:t>21</w:t>
          </w:r>
          <w:r>
            <w:rPr>
              <w:rFonts w:hint="eastAsia" w:ascii="楷体_GB2312" w:eastAsia="楷体_GB2312"/>
              <w:szCs w:val="28"/>
            </w:rPr>
            <w:t>年预算持平。</w:t>
          </w:r>
          <w:r>
            <w:tab/>
          </w:r>
          <w:r>
            <w:fldChar w:fldCharType="begin"/>
          </w:r>
          <w:r>
            <w:instrText xml:space="preserve"> PAGEREF _Toc17995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_Toc26451 </w:instrText>
          </w:r>
          <w:r>
            <w:rPr>
              <w:rFonts w:hint="eastAsia"/>
            </w:rPr>
            <w:fldChar w:fldCharType="separate"/>
          </w:r>
          <w:r>
            <w:rPr>
              <w:rFonts w:hint="eastAsia" w:ascii="楷体_GB2312" w:eastAsia="楷体_GB2312"/>
              <w:szCs w:val="28"/>
            </w:rPr>
            <w:t>（三） 公务用车购置及运行维护费与</w:t>
          </w:r>
          <w:r>
            <w:rPr>
              <w:rFonts w:hint="eastAsia" w:ascii="楷体_GB2312" w:eastAsia="楷体_GB2312"/>
              <w:szCs w:val="28"/>
              <w:lang w:eastAsia="zh-CN"/>
            </w:rPr>
            <w:t>20</w:t>
          </w:r>
          <w:r>
            <w:rPr>
              <w:rFonts w:hint="eastAsia" w:ascii="楷体_GB2312" w:eastAsia="楷体_GB2312"/>
              <w:szCs w:val="28"/>
              <w:lang w:val="en-US" w:eastAsia="zh-CN"/>
            </w:rPr>
            <w:t>21</w:t>
          </w:r>
          <w:r>
            <w:rPr>
              <w:rFonts w:hint="eastAsia" w:ascii="楷体_GB2312" w:eastAsia="楷体_GB2312"/>
              <w:szCs w:val="28"/>
            </w:rPr>
            <w:t>年预算持平。</w:t>
          </w:r>
          <w:r>
            <w:tab/>
          </w:r>
          <w:r>
            <w:fldChar w:fldCharType="begin"/>
          </w:r>
          <w:r>
            <w:instrText xml:space="preserve"> PAGEREF _Toc26451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_Toc15954 </w:instrText>
          </w:r>
          <w:r>
            <w:rPr>
              <w:rFonts w:hint="eastAsia"/>
            </w:rPr>
            <w:fldChar w:fldCharType="separate"/>
          </w:r>
          <w:r>
            <w:rPr>
              <w:rFonts w:hint="eastAsia" w:ascii="仿宋_GB2312" w:eastAsia="仿宋_GB2312"/>
              <w:szCs w:val="28"/>
              <w:shd w:val="clear" w:fill="FFFFFF"/>
              <w:lang w:eastAsia="zh-CN"/>
            </w:rPr>
            <w:t xml:space="preserve">八、 </w:t>
          </w:r>
          <w:r>
            <w:rPr>
              <w:rFonts w:hint="eastAsia" w:ascii="黑体" w:hAnsi="黑体" w:eastAsia="黑体"/>
              <w:szCs w:val="28"/>
            </w:rPr>
            <w:t>政府性基金预算支出情况说明</w:t>
          </w:r>
          <w:r>
            <w:tab/>
          </w:r>
          <w:r>
            <w:fldChar w:fldCharType="begin"/>
          </w:r>
          <w:r>
            <w:instrText xml:space="preserve"> PAGEREF _Toc15954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_Toc26048 </w:instrText>
          </w:r>
          <w:r>
            <w:rPr>
              <w:rFonts w:hint="eastAsia"/>
            </w:rPr>
            <w:fldChar w:fldCharType="separate"/>
          </w:r>
          <w:r>
            <w:rPr>
              <w:rFonts w:hint="eastAsia" w:ascii="仿宋_GB2312" w:eastAsia="仿宋_GB2312"/>
              <w:szCs w:val="28"/>
              <w:shd w:val="clear" w:fill="FFFFFF"/>
              <w:lang w:eastAsia="zh-CN"/>
            </w:rPr>
            <w:t xml:space="preserve">九、 </w:t>
          </w:r>
          <w:r>
            <w:rPr>
              <w:rFonts w:hint="eastAsia" w:ascii="黑体" w:hAnsi="黑体" w:eastAsia="黑体"/>
              <w:szCs w:val="28"/>
            </w:rPr>
            <w:t>国有资本经营预算支出情况说明</w:t>
          </w:r>
          <w:r>
            <w:tab/>
          </w:r>
          <w:r>
            <w:fldChar w:fldCharType="begin"/>
          </w:r>
          <w:r>
            <w:instrText xml:space="preserve"> PAGEREF _Toc26048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_Toc6694 </w:instrText>
          </w:r>
          <w:r>
            <w:rPr>
              <w:rFonts w:hint="eastAsia"/>
            </w:rPr>
            <w:fldChar w:fldCharType="separate"/>
          </w:r>
          <w:r>
            <w:rPr>
              <w:rFonts w:hint="eastAsia" w:ascii="黑体" w:hAnsi="黑体" w:eastAsia="黑体"/>
              <w:szCs w:val="28"/>
            </w:rPr>
            <w:t>十、 其他重要事项的情况说明</w:t>
          </w:r>
          <w:r>
            <w:tab/>
          </w:r>
          <w:r>
            <w:fldChar w:fldCharType="begin"/>
          </w:r>
          <w:r>
            <w:instrText xml:space="preserve"> PAGEREF _Toc6694 \h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_Toc11544 </w:instrText>
          </w:r>
          <w:r>
            <w:rPr>
              <w:rFonts w:hint="eastAsia"/>
            </w:rPr>
            <w:fldChar w:fldCharType="separate"/>
          </w:r>
          <w:r>
            <w:rPr>
              <w:rFonts w:hint="eastAsia" w:ascii="楷体_GB2312" w:eastAsia="楷体_GB2312"/>
              <w:szCs w:val="28"/>
            </w:rPr>
            <w:t>（一） 机关运行经费。</w:t>
          </w:r>
          <w:r>
            <w:tab/>
          </w:r>
          <w:r>
            <w:fldChar w:fldCharType="begin"/>
          </w:r>
          <w:r>
            <w:instrText xml:space="preserve"> PAGEREF _Toc11544 \h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_Toc4929 </w:instrText>
          </w:r>
          <w:r>
            <w:rPr>
              <w:rFonts w:hint="eastAsia"/>
            </w:rPr>
            <w:fldChar w:fldCharType="separate"/>
          </w:r>
          <w:r>
            <w:rPr>
              <w:rFonts w:hint="eastAsia" w:ascii="楷体_GB2312" w:eastAsia="楷体_GB2312"/>
              <w:szCs w:val="28"/>
            </w:rPr>
            <w:t>（二） 政府采购情况。</w:t>
          </w:r>
          <w:r>
            <w:tab/>
          </w:r>
          <w:r>
            <w:fldChar w:fldCharType="begin"/>
          </w:r>
          <w:r>
            <w:instrText xml:space="preserve"> PAGEREF _Toc4929 \h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_Toc13684 </w:instrText>
          </w:r>
          <w:r>
            <w:rPr>
              <w:rFonts w:hint="eastAsia"/>
            </w:rPr>
            <w:fldChar w:fldCharType="separate"/>
          </w:r>
          <w:r>
            <w:rPr>
              <w:rFonts w:hint="eastAsia" w:ascii="楷体_GB2312" w:eastAsia="楷体_GB2312"/>
              <w:szCs w:val="28"/>
            </w:rPr>
            <w:t>（三） 国有资产占有使用情况。</w:t>
          </w:r>
          <w:r>
            <w:tab/>
          </w:r>
          <w:r>
            <w:fldChar w:fldCharType="begin"/>
          </w:r>
          <w:r>
            <w:instrText xml:space="preserve"> PAGEREF _Toc13684 \h </w:instrText>
          </w:r>
          <w:r>
            <w:fldChar w:fldCharType="separate"/>
          </w:r>
          <w:r>
            <w:t>15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_Toc31681 </w:instrText>
          </w:r>
          <w:r>
            <w:rPr>
              <w:rFonts w:hint="eastAsia"/>
            </w:rPr>
            <w:fldChar w:fldCharType="separate"/>
          </w:r>
          <w:r>
            <w:rPr>
              <w:rFonts w:hint="eastAsia" w:ascii="楷体_GB2312" w:eastAsia="楷体_GB2312"/>
              <w:szCs w:val="28"/>
            </w:rPr>
            <w:t>（四） 绩效目标设置情况。</w:t>
          </w:r>
          <w:r>
            <w:tab/>
          </w:r>
          <w:r>
            <w:fldChar w:fldCharType="begin"/>
          </w:r>
          <w:r>
            <w:instrText xml:space="preserve"> PAGEREF _Toc31681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_Toc24920 </w:instrText>
          </w:r>
          <w:r>
            <w:rPr>
              <w:rFonts w:hint="eastAsia"/>
            </w:rPr>
            <w:fldChar w:fldCharType="separate"/>
          </w:r>
          <w:r>
            <w:rPr>
              <w:rFonts w:hint="eastAsia" w:ascii="仿宋_GB2312" w:eastAsia="仿宋_GB2312"/>
              <w:szCs w:val="28"/>
              <w:shd w:val="clear" w:color="auto" w:fill="FFFFFF"/>
              <w:lang w:eastAsia="zh-CN"/>
            </w:rPr>
            <w:t>附件：</w:t>
          </w:r>
          <w:r>
            <w:rPr>
              <w:rFonts w:hint="eastAsia" w:ascii="仿宋_GB2312" w:eastAsia="仿宋_GB2312"/>
              <w:szCs w:val="28"/>
              <w:shd w:val="clear" w:color="auto" w:fill="FFFFFF"/>
              <w:lang w:val="en-US" w:eastAsia="zh-CN"/>
            </w:rPr>
            <w:t>2022年部门预算公开报表</w:t>
          </w:r>
          <w:r>
            <w:tab/>
          </w:r>
          <w:r>
            <w:fldChar w:fldCharType="begin"/>
          </w:r>
          <w:r>
            <w:instrText xml:space="preserve"> PAGEREF _Toc24920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_Toc2442 </w:instrText>
          </w:r>
          <w:r>
            <w:rPr>
              <w:rFonts w:hint="eastAsia"/>
            </w:rPr>
            <w:fldChar w:fldCharType="separate"/>
          </w:r>
          <w:r>
            <w:rPr>
              <w:rFonts w:hint="eastAsia" w:ascii="黑体" w:hAnsi="黑体" w:eastAsia="黑体"/>
              <w:szCs w:val="28"/>
              <w:lang w:eastAsia="zh-CN"/>
            </w:rPr>
            <w:t>十一、名词解释</w:t>
          </w:r>
          <w:r>
            <w:tab/>
          </w:r>
          <w:r>
            <w:fldChar w:fldCharType="begin"/>
          </w:r>
          <w:r>
            <w:instrText xml:space="preserve"> PAGEREF _Toc2442 \h </w:instrText>
          </w:r>
          <w:r>
            <w:fldChar w:fldCharType="separate"/>
          </w:r>
          <w:r>
            <w:t>16</w:t>
          </w:r>
          <w:r>
            <w:fldChar w:fldCharType="end"/>
          </w:r>
          <w:r>
            <w:rPr>
              <w:rFonts w:hint="eastAsia"/>
            </w:rPr>
            <w:fldChar w:fldCharType="end"/>
          </w:r>
        </w:p>
        <w:p>
          <w:pPr>
            <w:pStyle w:val="2"/>
            <w:rPr>
              <w:rFonts w:hint="eastAsia"/>
            </w:rPr>
          </w:pPr>
          <w:r>
            <w:rPr>
              <w:rFonts w:hint="eastAsia"/>
            </w:rPr>
            <w:fldChar w:fldCharType="end"/>
          </w:r>
        </w:p>
      </w:sdtContent>
    </w:sdt>
    <w:p>
      <w:pPr>
        <w:rPr>
          <w:rFonts w:hint="eastAsia" w:ascii="黑体" w:hAnsi="黑体" w:eastAsia="黑体"/>
          <w:b/>
          <w:bCs/>
          <w:color w:val="000000"/>
          <w:sz w:val="28"/>
          <w:szCs w:val="28"/>
        </w:rPr>
      </w:pPr>
      <w:r>
        <w:rPr>
          <w:rFonts w:hint="eastAsia" w:ascii="黑体" w:hAnsi="黑体" w:eastAsia="黑体"/>
          <w:b/>
          <w:bCs/>
          <w:color w:val="000000"/>
          <w:sz w:val="28"/>
          <w:szCs w:val="28"/>
        </w:rPr>
        <w:br w:type="page"/>
      </w:r>
    </w:p>
    <w:p>
      <w:pPr>
        <w:outlineLvl w:val="0"/>
        <w:rPr>
          <w:rFonts w:hint="eastAsia" w:ascii="黑体" w:hAnsi="黑体" w:eastAsia="黑体"/>
          <w:b/>
          <w:bCs/>
          <w:color w:val="000000"/>
          <w:sz w:val="28"/>
          <w:szCs w:val="28"/>
          <w:lang w:eastAsia="zh-CN"/>
        </w:rPr>
      </w:pPr>
      <w:bookmarkStart w:id="0" w:name="_Toc31135"/>
      <w:r>
        <w:rPr>
          <w:rFonts w:hint="eastAsia" w:ascii="黑体" w:hAnsi="黑体" w:eastAsia="黑体"/>
          <w:b/>
          <w:bCs/>
          <w:color w:val="000000"/>
          <w:sz w:val="28"/>
          <w:szCs w:val="28"/>
        </w:rPr>
        <w:t>一、基本职能</w:t>
      </w:r>
      <w:r>
        <w:rPr>
          <w:rFonts w:hint="eastAsia" w:ascii="黑体" w:hAnsi="黑体" w:eastAsia="黑体"/>
          <w:b/>
          <w:bCs/>
          <w:color w:val="000000"/>
          <w:sz w:val="28"/>
          <w:szCs w:val="28"/>
          <w:lang w:eastAsia="zh-CN"/>
        </w:rPr>
        <w:t>及主要工作</w:t>
      </w:r>
      <w:bookmarkEnd w:id="0"/>
    </w:p>
    <w:p>
      <w:pPr>
        <w:ind w:firstLine="555"/>
        <w:outlineLvl w:val="1"/>
        <w:rPr>
          <w:rStyle w:val="10"/>
          <w:rFonts w:hint="eastAsia" w:ascii="楷体_GB2312" w:eastAsia="楷体_GB2312"/>
          <w:b/>
          <w:bCs/>
          <w:color w:val="000000"/>
          <w:sz w:val="28"/>
          <w:szCs w:val="28"/>
        </w:rPr>
      </w:pPr>
      <w:bookmarkStart w:id="1" w:name="_Toc2314"/>
      <w:r>
        <w:rPr>
          <w:rStyle w:val="10"/>
          <w:rFonts w:hint="eastAsia" w:ascii="楷体_GB2312" w:eastAsia="楷体_GB2312"/>
          <w:b/>
          <w:bCs/>
          <w:color w:val="000000"/>
          <w:sz w:val="28"/>
          <w:szCs w:val="28"/>
        </w:rPr>
        <w:t>（一）主要职责</w:t>
      </w:r>
      <w:bookmarkEnd w:id="1"/>
    </w:p>
    <w:p>
      <w:pPr>
        <w:ind w:firstLine="555"/>
        <w:outlineLvl w:val="9"/>
        <w:rPr>
          <w:rFonts w:hint="eastAsia" w:ascii="楷体_GB2312" w:eastAsia="楷体_GB2312"/>
          <w:b w:val="0"/>
          <w:bCs w:val="0"/>
          <w:color w:val="000000"/>
          <w:sz w:val="28"/>
          <w:szCs w:val="28"/>
          <w:lang w:val="en-US" w:eastAsia="zh-CN"/>
        </w:rPr>
      </w:pPr>
      <w:r>
        <w:rPr>
          <w:rFonts w:hint="eastAsia" w:ascii="楷体_GB2312" w:eastAsia="楷体_GB2312"/>
          <w:b w:val="0"/>
          <w:bCs w:val="0"/>
          <w:color w:val="000000"/>
          <w:sz w:val="28"/>
          <w:szCs w:val="28"/>
          <w:lang w:val="en-US" w:eastAsia="zh-CN"/>
        </w:rPr>
        <w:t>农业综合服务中心（畜牧医站）。负责贯彻执行涉及农业农村、林业、畜牧业、渔业、水利方面的法律法规和政策规定；拟定农林牧水渔产业发展规划和年度计划并组织实施；负责农业农村、乡村振兴综合综合服务工作；负责种植业、畜牧业、农业机械、农村能源的新品种、新技术、新设备得应用和推广服务性工作；负责农村“厕所革命”、人居环境整治、新农村建设等服务性工作；负责农作物病虫害的检测防治；协调配合种子、农药、化肥、饲料等农业投入品得检验检测及日常监管；开展农业用地得地力监测；负责组织农机抢险和跨区域农机作业、农机安全检查和事故的预防、报告和处理；负责动物免疫、疫病防控，流行病学调查和疫病的诊断、治疗；负责森林灭火、森林资源和野生动植物资源保护管理、造林绿化天然林保护、退耕还林、林业有害物防治等工作；负责林业资源的调查、林权纠纷调处、林业技术培训推广和林业统计等工作；协调配合林政案件查处；负责辖区内防汛抗旱、水土保持、农田水利建设、水资源保护、水利工程及村镇供水管理等事务性工作；负责农业产权交易信息的收集、整理、审核和上报工作；会同相关部门提出特殊产业发展规划，承担特殊产业项目的前期调研和特色产业项目的协调、跟踪、建设、推荐等服务性工作；开展农业产品质量安全标准的宣传，承担辖区农产品质量安全日常监督检验工作；负责河（湖）长制相关服务工作；完成党委、政府交办的其他工作。</w:t>
      </w:r>
    </w:p>
    <w:p>
      <w:pPr>
        <w:ind w:firstLine="555"/>
        <w:outlineLvl w:val="1"/>
        <w:rPr>
          <w:rStyle w:val="10"/>
          <w:rFonts w:hint="eastAsia" w:ascii="楷体_GB2312" w:eastAsia="楷体_GB2312"/>
          <w:b/>
          <w:bCs/>
          <w:color w:val="000000" w:themeColor="text1"/>
          <w:sz w:val="28"/>
          <w:szCs w:val="28"/>
          <w:lang w:val="en-US" w:eastAsia="zh-CN"/>
          <w14:textFill>
            <w14:solidFill>
              <w14:schemeClr w14:val="tx1"/>
            </w14:solidFill>
          </w14:textFill>
        </w:rPr>
      </w:pPr>
      <w:bookmarkStart w:id="2" w:name="_Toc25537"/>
      <w:r>
        <w:rPr>
          <w:rStyle w:val="10"/>
          <w:rFonts w:hint="eastAsia" w:ascii="楷体_GB2312" w:eastAsia="楷体_GB2312"/>
          <w:b/>
          <w:bCs/>
          <w:color w:val="000000" w:themeColor="text1"/>
          <w:sz w:val="28"/>
          <w:szCs w:val="28"/>
          <w14:textFill>
            <w14:solidFill>
              <w14:schemeClr w14:val="tx1"/>
            </w14:solidFill>
          </w14:textFill>
        </w:rPr>
        <w:t>（</w:t>
      </w:r>
      <w:r>
        <w:rPr>
          <w:rStyle w:val="10"/>
          <w:rFonts w:hint="eastAsia" w:ascii="楷体_GB2312" w:eastAsia="楷体_GB2312"/>
          <w:b/>
          <w:bCs/>
          <w:color w:val="000000" w:themeColor="text1"/>
          <w:sz w:val="28"/>
          <w:szCs w:val="28"/>
          <w:lang w:eastAsia="zh-CN"/>
          <w14:textFill>
            <w14:solidFill>
              <w14:schemeClr w14:val="tx1"/>
            </w14:solidFill>
          </w14:textFill>
        </w:rPr>
        <w:t>二</w:t>
      </w:r>
      <w:r>
        <w:rPr>
          <w:rStyle w:val="10"/>
          <w:rFonts w:hint="eastAsia" w:ascii="楷体_GB2312" w:eastAsia="楷体_GB2312"/>
          <w:b/>
          <w:bCs/>
          <w:color w:val="000000" w:themeColor="text1"/>
          <w:sz w:val="28"/>
          <w:szCs w:val="28"/>
          <w14:textFill>
            <w14:solidFill>
              <w14:schemeClr w14:val="tx1"/>
            </w14:solidFill>
          </w14:textFill>
        </w:rPr>
        <w:t>）</w:t>
      </w:r>
      <w:r>
        <w:rPr>
          <w:rStyle w:val="10"/>
          <w:rFonts w:hint="eastAsia" w:ascii="楷体_GB2312" w:eastAsia="楷体_GB2312"/>
          <w:b/>
          <w:bCs/>
          <w:color w:val="000000" w:themeColor="text1"/>
          <w:sz w:val="28"/>
          <w:szCs w:val="28"/>
          <w:lang w:val="en-US" w:eastAsia="zh-CN"/>
          <w14:textFill>
            <w14:solidFill>
              <w14:schemeClr w14:val="tx1"/>
            </w14:solidFill>
          </w14:textFill>
        </w:rPr>
        <w:t>2022年重点工作</w:t>
      </w:r>
      <w:bookmarkEnd w:id="2"/>
    </w:p>
    <w:p>
      <w:pPr>
        <w:ind w:firstLine="281" w:firstLineChars="1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一、水利方面</w:t>
      </w:r>
    </w:p>
    <w:p>
      <w:pPr>
        <w:ind w:firstLine="560" w:firstLineChars="200"/>
        <w:rPr>
          <w:rFonts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一</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河长制工作</w:t>
      </w:r>
    </w:p>
    <w:p>
      <w:pPr>
        <w:ind w:firstLine="560" w:firstLineChars="200"/>
        <w:rPr>
          <w:rFonts w:ascii="仿宋" w:hAnsi="仿宋" w:eastAsia="仿宋" w:cs="仿宋"/>
          <w:sz w:val="28"/>
          <w:szCs w:val="28"/>
        </w:rPr>
      </w:pPr>
      <w:r>
        <w:t>1、根据区总河段长办公室《关于开展河湖“清四乱”专项行动的通知》精神，进一步加强河湖管理保护，对全镇小型水库、区级河流、镇级河流开展集中专项治理，结合扫黑除恶专项斗争对排法采砂、涉河违法建设的行为加大打击力度，巩固提升河、库“四乱”问题集中清理整治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开展饮用水源地整治，由镇环保组建专班，对全镇集中式饮用水水源地开展摸排，完善标识标牌，完善保护区的划定，完善隔离设施的建设，落实水源地日常巡查保护机制，加大饮用水源地周边乱建、乱堆、乱排打击力度，确保水源地周边环境安全，确保水源地水质达标。</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开展农村水环境治理，各村（居）对辖区河、库管理工作扎实推进，配合协调相关主管部门开展河库管理、垃圾处理、污水治理、黑臭水体、面源污染治理等工作，加强水库水质保护，严禁施肥养鱼、围网养殖和严重污染水质的各种经营活动，逐步改善水库水质。结合农村厕所革命整治改造工作、聚民点污水治理处理工作、宜居乡村建设工作，有效改善我镇农村水环境。</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4、逐步完善河湖管理保护范围划定，根据辖区河湖现状，与相关主管局配合，基本完成相关河库管理范围划定工作，同步推进镇级河流管理范围划定以及水利工程管理与保护范围划定工作。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5、加强面源污染防治工作，加强农村生产生活宣传，持续推进化肥农药减量增效控害，实施化肥使用量零增长行动，规模化畜禽养殖场配套处理设施逐步完善，畜禽粪污还田利用以及设备配套逐步达标，开展“三磷”综合专项整治，完成重点段面水环境质量改善任务规划摸底。</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6、按进度推进四张清单，加强考核和督查，加强暗访巡查，促进镇村两级河段长履职尽责，并对发现问题通过提示、约谈、通报等形式促进整改，完善考核机制，继续将河湖长制工作纳入绩效考核。</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7、加强河库管理保护宣传和培训工作，通过适时召开会议，深入贯彻落实上级河长制湖长制部署要求，安排下阶段工作，并充分利用广播、电视、标语、工作微信、QQ群等形式，加大河长制宣传工作力度，开展进学校、进社区、宣传活动，形成良好的水生态氛围，形成齐抓共管的环境。</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8、压实责任，落实巡河工作，规范填写巡河记录，各村（居）要切实担负起“第一责任人”职责，按要求常态开展巡河工作，镇级河长制湖长制巡河每月不少于4次，村级河长制湖长制每月不少于8次，及时发现问题，并逐项解决问题，并聚焦重点，强力推进各项工作的完成，同时务必按要求完善巡河记录等，特别是要清晰描述巡河过程中发现的问题，要确保巡河人员签字完整真实等问题的规范。</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9、逗硬考核，责任落实。（1）考核内容（附件）；（2）考核方式：年度考核由镇绩效办公室牵头，河长制湖长制办公室协助组织各职能部门组成考核检查组，按照“统一标准，分组考核”的原则，采用走访群众、听取汇报、现场检查、召开座谈会等方式进行。</w:t>
      </w:r>
    </w:p>
    <w:p>
      <w:pPr>
        <w:ind w:firstLine="560" w:firstLineChars="200"/>
        <w:rPr>
          <w:rFonts w:hint="eastAsia" w:ascii="仿宋" w:hAnsi="仿宋" w:eastAsia="仿宋" w:cs="仿宋"/>
          <w:b/>
          <w:bCs/>
          <w:sz w:val="28"/>
          <w:szCs w:val="28"/>
        </w:rPr>
      </w:pP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二</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安全饮水</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1、全面巩固农村安全饮水现状，落实“三个责任”“三项制度”，完成千人以上万人以下的水源保护工作。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2、根据“十四五”规划思路，完成芦山街道主水管道的改造、大柏树水厂的技改、茨垭水厂制水能力等工程；甘泉供水工程、大柏树水厂的整编工作。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3、全面巩固提升制水人员的培训工作，监督督促制水人员的健康证明的办理。</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4、监督督促各水厂的加药过程的规范。</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5、加强对巡管员的业务培训及规范管理。</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6、加大辖区内涉水领域的法律法规宣传。</w:t>
      </w:r>
    </w:p>
    <w:p>
      <w:pPr>
        <w:ind w:firstLine="560" w:firstLineChars="200"/>
        <w:jc w:val="left"/>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三</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防汛工作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1、超前安排部署，抓好防汛安全检查，落实领导班子，建立领导干部包干责任制。</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2、编制各水库、街道、重点场所防汛预案，严格落实“三个责任人”。</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3、抓好山洪灾害非工程措施的设备维修和维护，确保发布预警信息的畅通。</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4、落实好防汛值班值守，掌握雨情、汛情、灾情，为领导指挥防汛抗旱提供切实可行的依据。</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5、开展防汛抗旱应急演练，提高应急处置能力。</w:t>
      </w:r>
    </w:p>
    <w:p>
      <w:pPr>
        <w:ind w:firstLine="281" w:firstLineChars="100"/>
        <w:rPr>
          <w:rFonts w:hint="eastAsia" w:ascii="仿宋" w:hAnsi="仿宋" w:eastAsia="仿宋" w:cs="仿宋"/>
          <w:b/>
          <w:bCs/>
          <w:sz w:val="44"/>
          <w:szCs w:val="44"/>
          <w:lang w:eastAsia="zh-CN"/>
        </w:rPr>
      </w:pPr>
      <w:r>
        <w:rPr>
          <w:rFonts w:hint="eastAsia" w:ascii="仿宋" w:hAnsi="仿宋" w:eastAsia="仿宋" w:cs="仿宋"/>
          <w:b/>
          <w:bCs/>
          <w:sz w:val="28"/>
          <w:szCs w:val="28"/>
          <w:lang w:eastAsia="zh-CN"/>
        </w:rPr>
        <w:t>二、农技方面</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一</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大力引进新品种，积极推广新技术</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引进优质杂交水稻品种1个（川种优3877），优质高产玉米品种1个（昊明达13），推广台湾新青玉甜瓜、湘新15号辣椒，章姬、红颜甜查理脱毒草莓等10多个优良高产蔬菜瓜果品种，推广10多个高效低毒农药品种，如康宽、稻腾、吡蚜酮、烯腚虫胺等。推广地膜集中连片育秧、测土配方平衡施肥等新技术。</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二</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搞好农作物病虫草害的预测预报及统防统治工作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抓好202</w:t>
      </w:r>
      <w:r>
        <w:rPr>
          <w:rFonts w:hint="eastAsia" w:ascii="仿宋" w:hAnsi="仿宋" w:eastAsia="仿宋" w:cs="仿宋"/>
          <w:sz w:val="28"/>
          <w:szCs w:val="28"/>
          <w:lang w:val="en-US" w:eastAsia="zh-CN"/>
        </w:rPr>
        <w:t>2</w:t>
      </w:r>
      <w:r>
        <w:rPr>
          <w:rFonts w:hint="eastAsia" w:ascii="仿宋" w:hAnsi="仿宋" w:eastAsia="仿宋" w:cs="仿宋"/>
          <w:sz w:val="28"/>
          <w:szCs w:val="28"/>
        </w:rPr>
        <w:t>水稻“三虫两病”和蔬菜瓜果“三虫四病”的预防工作，争取水稻统防统治面积达到4000余亩，设立相应测报点及准确做好农作物病虫草的预报防治工作，计划发放水稻、玉米、蔬菜 等病虫害防治技术资料2100余份，每期都发放到各村(居)、各专业种植合作社，使我镇农作物病虫草害防效率达97%。</w:t>
      </w:r>
    </w:p>
    <w:p>
      <w:pPr>
        <w:ind w:firstLine="560" w:firstLineChars="200"/>
        <w:rPr>
          <w:rFonts w:hint="eastAsia" w:ascii="仿宋" w:hAnsi="仿宋" w:eastAsia="仿宋" w:cs="仿宋"/>
          <w:b/>
          <w:bCs/>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三</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落实科学发展观，继续做大做强大发种养植专业合作社、泰寿果蔬专业合作社等无公害有机果蔬基地、以点带面带动全镇无公害有机果蔬的生产发展。</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1、广泛筹集资金，加快蔬菜 基地道路、水渠等基础设施的建设，扶持发展229个大棚种植蔬菜、草莓、西甜瓜等作物。</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2、大力推广优良优质高产丰产蔬菜品种。</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3、采用测土配方平衡施肥，大力施用农家粪肥、饼肥，以提高蔬菜品质产量。</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4、积极推广康宽、苏云金杆菌、甲维盐、多抗莓素等高效低毒生物农药防治病虫害，坚决杜绝农业部23种禁用、19种限用的高毒农药品种在蔬菜上使用。</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四</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认真做好早稻集中连片育秧示范点推广工作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大力发展吉公村清正种植专业合作社早稻集中育秧示范点的建设，为“压单扩双”、促进我镇粮食生产发展提供了有力保证。农技人员必须到田间地头为农户浸种催芽、地膜覆盖、病虫草害方面提供强有力的技术指导，使我镇早稻种植面积比上年提高 10%。</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五</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粮食监测点</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加大力度监督3个粮食监测点大小春种满种尽，不撂荒一分地，保证巴州区产粮大县的帽子，同时做好测产工作。</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六</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测土配方施肥</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采用BB控释肥技术进行配方施肥，不但节约成本同时保护农田环境。</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七</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积极引导种植专业合作社、种粮大户实行立体种养模式</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积极引导农户从种到养、从养到种，经济循环利用，节约成本，增创效益，计划清正种植专业合作社种植水稻324亩，养殖牲猪150余头，放养鱼塘15余亩。</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八</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加强农技培训和宣传，大力提高农户种植技术水平</w:t>
      </w:r>
    </w:p>
    <w:p>
      <w:pPr>
        <w:ind w:firstLine="560" w:firstLineChars="200"/>
        <w:rPr>
          <w:rFonts w:hint="eastAsia" w:ascii="仿宋" w:hAnsi="仿宋" w:eastAsia="仿宋" w:cs="仿宋"/>
          <w:sz w:val="28"/>
          <w:szCs w:val="28"/>
        </w:rPr>
      </w:pPr>
      <w:r>
        <w:rPr>
          <w:rFonts w:hint="eastAsia" w:ascii="仿宋" w:hAnsi="仿宋" w:eastAsia="仿宋" w:cs="仿宋"/>
          <w:b w:val="0"/>
          <w:bCs w:val="0"/>
          <w:sz w:val="28"/>
          <w:szCs w:val="28"/>
        </w:rPr>
        <w:t>在吉公、寿星、大柏树、秧田、椿树等村大力推广无公害果蔬病</w:t>
      </w:r>
      <w:r>
        <w:rPr>
          <w:rFonts w:hint="eastAsia" w:ascii="仿宋" w:hAnsi="仿宋" w:eastAsia="仿宋" w:cs="仿宋"/>
          <w:sz w:val="28"/>
          <w:szCs w:val="28"/>
        </w:rPr>
        <w:t>虫综合防治技术，水稻病虫综合防控技术，双低油菜高产栽培技术，大棚草莓高产栽培技术培训达300余人次，同时利用村村响、电视、黑板报、微信、标语等宣传方式在农时季节做好各方面种养殖技术宣传和指导，大力提高农户种植技术水平，为增加扩大农户种植效益提供有力保证。</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九</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加大农业食品的安全监管</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加强对农产品质量安全的监管，做到一月一抽检，全年完成300个快检任务，有力打击农资假冒伪劣商品，大力推广高效低毒生物农药防治病虫害，坚决杜绝农业部23种禁用，19种限用的高毒高残留农药品种在蔬菜上使用，大力推进农业标准化生产，加快发展高产、高质、高效的品牌农业。</w:t>
      </w:r>
    </w:p>
    <w:p>
      <w:pPr>
        <w:ind w:firstLine="560" w:firstLineChars="20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十</w:t>
      </w:r>
      <w:r>
        <w:rPr>
          <w:rFonts w:hint="eastAsia" w:ascii="仿宋" w:hAnsi="仿宋" w:eastAsia="仿宋" w:cs="仿宋"/>
          <w:b w:val="0"/>
          <w:bCs w:val="0"/>
          <w:sz w:val="28"/>
          <w:szCs w:val="28"/>
          <w:lang w:val="en-US" w:eastAsia="zh-CN"/>
        </w:rPr>
        <w:t>)</w:t>
      </w:r>
      <w:r>
        <w:rPr>
          <w:rFonts w:hint="eastAsia" w:ascii="仿宋" w:hAnsi="仿宋" w:eastAsia="仿宋" w:cs="仿宋"/>
          <w:b w:val="0"/>
          <w:bCs w:val="0"/>
          <w:sz w:val="28"/>
          <w:szCs w:val="28"/>
        </w:rPr>
        <w:t>做好惠农政策性补贴</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认真做好水稻、油菜、大豆、花生的各项农作物的惠农补贴清册，把国家的惠农政策洛到实处。</w:t>
      </w: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三、农经方面</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一</w:t>
      </w:r>
      <w:r>
        <w:rPr>
          <w:rFonts w:hint="eastAsia" w:ascii="仿宋" w:hAnsi="仿宋" w:eastAsia="仿宋" w:cs="仿宋"/>
          <w:sz w:val="28"/>
          <w:szCs w:val="28"/>
          <w:lang w:eastAsia="zh-CN"/>
        </w:rPr>
        <w:t>）</w:t>
      </w:r>
      <w:r>
        <w:rPr>
          <w:rFonts w:hint="eastAsia" w:ascii="仿宋" w:hAnsi="仿宋" w:eastAsia="仿宋" w:cs="仿宋"/>
          <w:sz w:val="28"/>
          <w:szCs w:val="28"/>
        </w:rPr>
        <w:t>做好清资核产相关工作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清产核资的目的是摸清家底，明确权属，管好用好集体资产，构建集体经济运行新机制，为农村集体产权制度改革奠定基础。</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尤其今年是机制改革的一年。每个村每个社都有变化。以前做的清产核资工作就要有相应的变化。因为我镇是大镇，工作强度会非常大。在做好本年度报表的同时，还要还要将以前的村，重新对现在改制和改革后的村做清产核资，清理工作，任务非常重。</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二</w:t>
      </w:r>
      <w:r>
        <w:rPr>
          <w:rFonts w:hint="eastAsia" w:ascii="仿宋" w:hAnsi="仿宋" w:eastAsia="仿宋" w:cs="仿宋"/>
          <w:sz w:val="28"/>
          <w:szCs w:val="28"/>
          <w:lang w:eastAsia="zh-CN"/>
        </w:rPr>
        <w:t>）</w:t>
      </w:r>
      <w:r>
        <w:rPr>
          <w:rFonts w:hint="eastAsia" w:ascii="仿宋" w:hAnsi="仿宋" w:eastAsia="仿宋" w:cs="仿宋"/>
          <w:sz w:val="28"/>
          <w:szCs w:val="28"/>
        </w:rPr>
        <w:t>做好202</w:t>
      </w:r>
      <w:r>
        <w:rPr>
          <w:rFonts w:hint="eastAsia" w:ascii="仿宋" w:hAnsi="仿宋" w:eastAsia="仿宋" w:cs="仿宋"/>
          <w:sz w:val="28"/>
          <w:szCs w:val="28"/>
          <w:lang w:val="en-US" w:eastAsia="zh-CN"/>
        </w:rPr>
        <w:t>2</w:t>
      </w:r>
      <w:r>
        <w:rPr>
          <w:rFonts w:hint="eastAsia" w:ascii="仿宋" w:hAnsi="仿宋" w:eastAsia="仿宋" w:cs="仿宋"/>
          <w:sz w:val="28"/>
          <w:szCs w:val="28"/>
        </w:rPr>
        <w:t>年耕地地力保护补贴</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按照中央“稳增长、促改革、调结构、惠民生、防风险”总体部署，主动适应经济发展新常态、顺应农业发展新形势，以绿色生态为导向，推进农业“三项补贴”由激励性补贴向功能性补贴转变、由覆盖性补贴向环节性补贴转变，提高补贴政策的指向性、精准性和实效性，鼓励农民主动保护耕地地力，实现“藏粮于地”的战略目标；鼓励多种形式的粮食适度规模经营，推进农业生产规模化、产业化、社会化。国家将原农作物良种补贴、种粮农民直接补贴和农资综合补贴合并为农业支持保护补贴，政策目标调整为支持耕地地力保护和粮食适度规模经营，对放大财政支农政策效应、有效缓解农业农村发展资金不足问题具有重要作用。</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三</w:t>
      </w:r>
      <w:r>
        <w:rPr>
          <w:rFonts w:hint="eastAsia" w:ascii="仿宋" w:hAnsi="仿宋" w:eastAsia="仿宋" w:cs="仿宋"/>
          <w:sz w:val="28"/>
          <w:szCs w:val="28"/>
          <w:lang w:eastAsia="zh-CN"/>
        </w:rPr>
        <w:t>）</w:t>
      </w:r>
      <w:r>
        <w:rPr>
          <w:rFonts w:hint="eastAsia" w:ascii="仿宋" w:hAnsi="仿宋" w:eastAsia="仿宋" w:cs="仿宋"/>
          <w:sz w:val="28"/>
          <w:szCs w:val="28"/>
        </w:rPr>
        <w:t>做好202</w:t>
      </w:r>
      <w:r>
        <w:rPr>
          <w:rFonts w:hint="eastAsia" w:ascii="仿宋" w:hAnsi="仿宋" w:eastAsia="仿宋" w:cs="仿宋"/>
          <w:sz w:val="28"/>
          <w:szCs w:val="28"/>
          <w:lang w:val="en-US" w:eastAsia="zh-CN"/>
        </w:rPr>
        <w:t>2</w:t>
      </w:r>
      <w:r>
        <w:rPr>
          <w:rFonts w:hint="eastAsia" w:ascii="仿宋" w:hAnsi="仿宋" w:eastAsia="仿宋" w:cs="仿宋"/>
          <w:sz w:val="28"/>
          <w:szCs w:val="28"/>
        </w:rPr>
        <w:t>年水稻补贴工作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为进一步贯彻落实国家关于稻谷补贴工作的有关要求，保障稻谷种植收益基本稳定，专项资金安排同特定作物稻谷挂钩，提高资金补贴的精准性，切实稳定稻谷生产能力，确保口粮绝对安全，深入贯彻落实质量兴农战略，引导种植结构调整，促进增加绿色优质稻谷供给。</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四</w:t>
      </w:r>
      <w:r>
        <w:rPr>
          <w:rFonts w:hint="eastAsia" w:ascii="仿宋" w:hAnsi="仿宋" w:eastAsia="仿宋" w:cs="仿宋"/>
          <w:sz w:val="28"/>
          <w:szCs w:val="28"/>
          <w:lang w:eastAsia="zh-CN"/>
        </w:rPr>
        <w:t>）</w:t>
      </w:r>
      <w:r>
        <w:rPr>
          <w:rFonts w:hint="eastAsia" w:ascii="仿宋" w:hAnsi="仿宋" w:eastAsia="仿宋" w:cs="仿宋"/>
          <w:sz w:val="28"/>
          <w:szCs w:val="28"/>
        </w:rPr>
        <w:t>做好产业扶持资金的管理工作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有效解决建档立卡贫困户产业发展资金短缺问题，发展壮大贫困村集体经济，实现精准扶贫、精准脱贫，用于支持建档立卡贫困户或贫困村集体经济组织发展产业的引导资金。产业基金为贫困村集体经济组织所有，由贫困村集体经济组织在村“两委”指导下使用和管理，产业基金使用管理遵循“公开透明、规范管理、注重绩效、滚动使用”的原则，确保规范、安全、可持续。</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 </w:t>
      </w:r>
      <w:r>
        <w:rPr>
          <w:rFonts w:hint="eastAsia" w:ascii="仿宋" w:hAnsi="仿宋" w:eastAsia="仿宋" w:cs="仿宋"/>
          <w:sz w:val="28"/>
          <w:szCs w:val="28"/>
          <w:lang w:eastAsia="zh-CN"/>
        </w:rPr>
        <w:t>（</w:t>
      </w:r>
      <w:r>
        <w:rPr>
          <w:rFonts w:hint="eastAsia" w:ascii="仿宋" w:hAnsi="仿宋" w:eastAsia="仿宋" w:cs="仿宋"/>
          <w:sz w:val="28"/>
          <w:szCs w:val="28"/>
        </w:rPr>
        <w:t>五</w:t>
      </w:r>
      <w:r>
        <w:rPr>
          <w:rFonts w:hint="eastAsia" w:ascii="仿宋" w:hAnsi="仿宋" w:eastAsia="仿宋" w:cs="仿宋"/>
          <w:sz w:val="28"/>
          <w:szCs w:val="28"/>
          <w:lang w:eastAsia="zh-CN"/>
        </w:rPr>
        <w:t>）</w:t>
      </w:r>
      <w:r>
        <w:rPr>
          <w:rFonts w:hint="eastAsia" w:ascii="仿宋" w:hAnsi="仿宋" w:eastAsia="仿宋" w:cs="仿宋"/>
          <w:sz w:val="28"/>
          <w:szCs w:val="28"/>
        </w:rPr>
        <w:t>做好土地确权办证相关工作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在我镇范围内全面开展农村土地确权登记颁证工作。土地所有权、土地使用权和他项权利的确认、确定，简称确权。土地确权就是依照法律、政策的规定确定某一范围内的土地(或称一宗地)的所有权、使用权的隶属关系和他项权利的内容。每宗地的土地权属要经过土地登记申请、地籍调查、核属审核、登记注册、颁发土地证书等土地登记程序，才能得到最后的确认和确定。农村土地确权首先是有利于强化物权保障；其次有利于强化承包农户的市场主体地位和家庭承包经营的基础地位，为巩固农村基本经营制度提供强有力的制度保障；再次农民可用自己的权证进行抵押贷款；最后有利于明确土地承包经营权归属，为解决土地承包经营纠纷、维护农民土地承包的各项合法权益提供强有力的原始依据。</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六</w:t>
      </w:r>
      <w:r>
        <w:rPr>
          <w:rFonts w:hint="eastAsia" w:ascii="仿宋" w:hAnsi="仿宋" w:eastAsia="仿宋" w:cs="仿宋"/>
          <w:sz w:val="28"/>
          <w:szCs w:val="28"/>
          <w:lang w:eastAsia="zh-CN"/>
        </w:rPr>
        <w:t>）</w:t>
      </w:r>
      <w:r>
        <w:rPr>
          <w:rFonts w:hint="eastAsia" w:ascii="仿宋" w:hAnsi="仿宋" w:eastAsia="仿宋" w:cs="仿宋"/>
          <w:sz w:val="28"/>
          <w:szCs w:val="28"/>
        </w:rPr>
        <w:t>做村集体经济收入相关工作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结合集体资产清产核资，彻底摸清各村特别是集体经济收入空白村集体家底，盘活经营性资产和资源性资产，通过承包、租赁等多种形式，增加农村集体收入。同时，多种渠道排查集体收入账外流失，增加村集体经济收入，完成开展集体产权制度改革的村，有集体统一经营资产的村通过成立经济合作社或股份经济合作社，增加村集体经济收入。</w:t>
      </w:r>
    </w:p>
    <w:p>
      <w:pPr>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七</w:t>
      </w:r>
      <w:r>
        <w:rPr>
          <w:rFonts w:hint="eastAsia" w:ascii="仿宋" w:hAnsi="仿宋" w:eastAsia="仿宋" w:cs="仿宋"/>
          <w:sz w:val="28"/>
          <w:szCs w:val="28"/>
          <w:lang w:eastAsia="zh-CN"/>
        </w:rPr>
        <w:t>）</w:t>
      </w:r>
      <w:r>
        <w:rPr>
          <w:rFonts w:hint="eastAsia" w:ascii="仿宋" w:hAnsi="仿宋" w:eastAsia="仿宋" w:cs="仿宋"/>
          <w:sz w:val="28"/>
          <w:szCs w:val="28"/>
        </w:rPr>
        <w:t>做好每年统计年报、经济年报、农业综合年报相关工作</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年报是农村经营管理的一项基础性工作,它对了解研究农村经济发展状况,帮助政府部门科学决策起着重要作用，认真开展农村财务清理，摸清家底，为年报打下坚实的基础。今年开展农村财务清理有其特殊的意义，因村和乡镇建制先后都作了调整，搞好农村财务清理是稳定农村社会、深化农村改革、弄清村社家底和掌握资产负债的需要。清理要做到“五相符”、集体和个人往来清楚、核实资产负债;财务档案齐全，管理安全</w:t>
      </w:r>
    </w:p>
    <w:p>
      <w:pPr>
        <w:numPr>
          <w:ilvl w:val="0"/>
          <w:numId w:val="0"/>
        </w:numPr>
        <w:ind w:firstLine="280" w:firstLineChars="1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(八)继续做好2022年产业就业扶贫奖补资金贫困户边缘户花补助资金的发放工作</w:t>
      </w:r>
    </w:p>
    <w:p>
      <w:pPr>
        <w:numPr>
          <w:ilvl w:val="0"/>
          <w:numId w:val="0"/>
        </w:numPr>
        <w:rPr>
          <w:rFonts w:hint="eastAsia" w:ascii="仿宋" w:hAnsi="仿宋" w:eastAsia="仿宋" w:cs="仿宋"/>
          <w:sz w:val="28"/>
          <w:szCs w:val="28"/>
          <w:lang w:val="en-US" w:eastAsia="zh-CN"/>
        </w:rPr>
      </w:pPr>
      <w:r>
        <w:t xml:space="preserve">     由于现在很多惠农资金都使用社保卡，所以很多农户将以前农商银行的账户注销，而2021年产业就业扶贫奖补资金贫困户边缘户花补助资金是通过银行加密方式打卡到户（必须是农商银行的账户），所以导致大量农户无法打卡到户，目前正在积极协商处理中。</w:t>
      </w:r>
    </w:p>
    <w:p>
      <w:pPr>
        <w:numPr>
          <w:ilvl w:val="0"/>
          <w:numId w:val="0"/>
        </w:numPr>
        <w:rPr>
          <w:rFonts w:hint="eastAsia" w:ascii="仿宋" w:hAnsi="仿宋" w:eastAsia="仿宋" w:cs="仿宋"/>
          <w:b/>
          <w:bCs/>
          <w:sz w:val="44"/>
          <w:szCs w:val="44"/>
          <w:lang w:val="en-US" w:eastAsia="zh-CN"/>
        </w:rPr>
      </w:pPr>
      <w:r>
        <w:rPr>
          <w:rFonts w:hint="eastAsia" w:ascii="仿宋" w:hAnsi="仿宋" w:eastAsia="仿宋" w:cs="仿宋"/>
          <w:b/>
          <w:bCs/>
          <w:sz w:val="28"/>
          <w:szCs w:val="28"/>
          <w:lang w:val="en-US" w:eastAsia="zh-CN"/>
        </w:rPr>
        <w:t>四、畜牧和农机方面</w:t>
      </w:r>
    </w:p>
    <w:p>
      <w:pPr>
        <w:numPr>
          <w:ilvl w:val="0"/>
          <w:numId w:val="0"/>
        </w:numPr>
        <w:rPr>
          <w:rFonts w:hint="default" w:ascii="仿宋" w:hAnsi="仿宋" w:eastAsia="仿宋" w:cs="仿宋"/>
          <w:b w:val="0"/>
          <w:bCs w:val="0"/>
          <w:sz w:val="28"/>
          <w:szCs w:val="28"/>
          <w:lang w:val="en-US" w:eastAsia="zh-CN"/>
        </w:rPr>
      </w:pPr>
      <w:r>
        <w:rPr>
          <w:rFonts w:hint="eastAsia" w:ascii="仿宋" w:hAnsi="仿宋" w:eastAsia="仿宋" w:cs="仿宋"/>
          <w:b/>
          <w:bCs/>
          <w:sz w:val="44"/>
          <w:szCs w:val="44"/>
          <w:lang w:val="en-US" w:eastAsia="zh-CN"/>
        </w:rPr>
        <w:t xml:space="preserve">   </w:t>
      </w:r>
      <w:r>
        <w:rPr>
          <w:rFonts w:hint="eastAsia" w:ascii="仿宋" w:hAnsi="仿宋" w:eastAsia="仿宋" w:cs="仿宋"/>
          <w:b w:val="0"/>
          <w:bCs w:val="0"/>
          <w:sz w:val="28"/>
          <w:szCs w:val="28"/>
          <w:lang w:val="en-US" w:eastAsia="zh-CN"/>
        </w:rPr>
        <w:t>2022年畜牧工作计划:春秋两季畜禽免疫(包括狂犬病防制)；非洲猪瘟防控；动物产地检疫，动物产品检验；规模养殖场户(家庭农场)的培育与监管；畜禽投入品的监管；生猪监测点的监管；辖区内“大宣传，大消毒，大培训”组织与督导；曾口高速路口非洲猪瘟临时值班值守；政府安排的其他中心工作。另农机做好农机安全生产和做好</w:t>
      </w:r>
      <w:r>
        <w:rPr>
          <w:rFonts w:hint="eastAsia"/>
          <w:sz w:val="28"/>
          <w:szCs w:val="28"/>
        </w:rPr>
        <w:t>农机补贴</w:t>
      </w:r>
      <w:r>
        <w:rPr>
          <w:rFonts w:hint="eastAsia"/>
          <w:sz w:val="28"/>
          <w:szCs w:val="28"/>
          <w:lang w:eastAsia="zh-CN"/>
        </w:rPr>
        <w:t>审核和发放</w:t>
      </w:r>
      <w:r>
        <w:rPr>
          <w:rFonts w:hint="eastAsia"/>
          <w:sz w:val="30"/>
          <w:szCs w:val="30"/>
          <w:lang w:eastAsia="zh-CN"/>
        </w:rPr>
        <w:t>。</w:t>
      </w:r>
      <w:r>
        <w:rPr>
          <w:rFonts w:hint="eastAsia" w:ascii="仿宋" w:hAnsi="仿宋" w:eastAsia="仿宋" w:cs="仿宋"/>
          <w:b w:val="0"/>
          <w:bCs w:val="0"/>
          <w:sz w:val="28"/>
          <w:szCs w:val="28"/>
          <w:lang w:val="en-US" w:eastAsia="zh-CN"/>
        </w:rPr>
        <w:t xml:space="preserve"> </w:t>
      </w:r>
    </w:p>
    <w:p>
      <w:pPr>
        <w:numPr>
          <w:ilvl w:val="0"/>
          <w:numId w:val="0"/>
        </w:numPr>
        <w:rPr>
          <w:rFonts w:hint="eastAsia" w:ascii="仿宋" w:hAnsi="仿宋" w:eastAsia="仿宋" w:cs="仿宋"/>
          <w:sz w:val="28"/>
          <w:szCs w:val="28"/>
        </w:rPr>
      </w:pPr>
      <w:r>
        <w:rPr>
          <w:rFonts w:hint="eastAsia" w:ascii="仿宋" w:hAnsi="仿宋" w:eastAsia="仿宋" w:cs="仿宋"/>
          <w:sz w:val="28"/>
          <w:szCs w:val="28"/>
        </w:rPr>
        <w:t>畜牧业办公室，主任办公室，特色产业办公室，惠农资金办公室，农业机械安全办公室，河长制办公室（含水利），农业技术推广办公室，宅基地管理办公室，人居环境办公室（含厕所革命），森林防火办公室，</w:t>
      </w:r>
    </w:p>
    <w:p>
      <w:pPr>
        <w:numPr>
          <w:ilvl w:val="0"/>
          <w:numId w:val="1"/>
        </w:numPr>
        <w:outlineLvl w:val="0"/>
        <w:rPr>
          <w:rFonts w:hint="eastAsia" w:ascii="黑体" w:hAnsi="黑体" w:eastAsia="黑体"/>
          <w:color w:val="000000" w:themeColor="text1"/>
          <w:sz w:val="28"/>
          <w:szCs w:val="28"/>
          <w:lang w:val="en-US" w:eastAsia="zh-CN"/>
          <w14:textFill>
            <w14:solidFill>
              <w14:schemeClr w14:val="tx1"/>
            </w14:solidFill>
          </w14:textFill>
        </w:rPr>
      </w:pPr>
      <w:bookmarkStart w:id="3" w:name="_Toc23715"/>
      <w:r>
        <w:rPr>
          <w:rFonts w:hint="eastAsia" w:ascii="黑体" w:hAnsi="黑体" w:eastAsia="黑体"/>
          <w:color w:val="000000" w:themeColor="text1"/>
          <w:sz w:val="28"/>
          <w:szCs w:val="28"/>
          <w:lang w:val="en-US" w:eastAsia="zh-CN"/>
          <w14:textFill>
            <w14:solidFill>
              <w14:schemeClr w14:val="tx1"/>
            </w14:solidFill>
          </w14:textFill>
        </w:rPr>
        <w:t>机构设置情况</w:t>
      </w:r>
      <w:bookmarkEnd w:id="3"/>
    </w:p>
    <w:p>
      <w:pPr>
        <w:numPr>
          <w:ilvl w:val="0"/>
          <w:numId w:val="0"/>
        </w:numPr>
        <w:outlineLvl w:val="9"/>
        <w:rPr>
          <w:rFonts w:hint="eastAsia" w:ascii="仿宋" w:hAnsi="仿宋" w:eastAsia="仿宋" w:cs="仿宋"/>
          <w:color w:val="000000" w:themeColor="text1"/>
          <w:sz w:val="28"/>
          <w:szCs w:val="28"/>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　　曾口镇农业综合服务中心下设10个职能办公室，分别为：</w:t>
      </w:r>
      <w:r>
        <w:rPr>
          <w:rFonts w:hint="eastAsia" w:ascii="仿宋" w:hAnsi="仿宋" w:eastAsia="仿宋" w:cs="仿宋"/>
          <w:color w:val="000000" w:themeColor="text1"/>
          <w:sz w:val="28"/>
          <w:szCs w:val="28"/>
          <w14:textFill>
            <w14:solidFill>
              <w14:schemeClr w14:val="tx1"/>
            </w14:solidFill>
          </w14:textFill>
        </w:rPr>
        <w:t>畜牧业办公室，主任办公室，特色产业办公室，惠农资金办公室，农业机械安全办公室，河长制办公室（含水利），农业技术推广办公室，宅基地管理办公室，人居环境办公室（含厕所革命），森林防火办公室，</w:t>
      </w:r>
    </w:p>
    <w:p>
      <w:pPr>
        <w:numPr>
          <w:ilvl w:val="0"/>
          <w:numId w:val="0"/>
        </w:numPr>
        <w:rPr>
          <w:rFonts w:hint="eastAsia"/>
          <w:color w:val="C00000"/>
          <w:lang w:val="en-US" w:eastAsia="zh-CN"/>
        </w:rPr>
      </w:pPr>
    </w:p>
    <w:p>
      <w:pPr>
        <w:pStyle w:val="2"/>
        <w:rPr>
          <w:rFonts w:hint="eastAsia" w:ascii="仿宋_GB2312" w:eastAsia="仿宋_GB2312"/>
          <w:color w:val="000000"/>
          <w:sz w:val="28"/>
          <w:szCs w:val="28"/>
          <w:shd w:val="clear" w:color="auto" w:fill="FFFFFF"/>
          <w:lang w:val="en-US" w:eastAsia="zh-CN"/>
        </w:rPr>
      </w:pPr>
    </w:p>
    <w:p>
      <w:pPr>
        <w:numPr>
          <w:ilvl w:val="0"/>
          <w:numId w:val="2"/>
        </w:numPr>
        <w:outlineLvl w:val="0"/>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bookmarkStart w:id="4" w:name="_Toc11032"/>
      <w:r>
        <w:rPr>
          <w:rFonts w:hint="eastAsia" w:ascii="黑体" w:hAnsi="黑体" w:eastAsia="黑体"/>
          <w:b/>
          <w:bCs/>
          <w:color w:val="000000" w:themeColor="text1"/>
          <w:sz w:val="28"/>
          <w:szCs w:val="28"/>
          <w:lang w:val="en-US" w:eastAsia="zh-CN"/>
          <w14:textFill>
            <w14:solidFill>
              <w14:schemeClr w14:val="tx1"/>
            </w14:solidFill>
          </w14:textFill>
        </w:rPr>
        <w:t>收支预算情况说明</w:t>
      </w:r>
      <w:bookmarkEnd w:id="4"/>
    </w:p>
    <w:p>
      <w:pPr>
        <w:numPr>
          <w:ilvl w:val="0"/>
          <w:numId w:val="0"/>
        </w:numPr>
        <w:ind w:firstLine="560" w:firstLineChars="200"/>
        <w:outlineLvl w:val="9"/>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按照综合预算的原则，所有收入和支出均纳入部门预算管理。收入包括：一般公共预算拨款收入、上年结转；支出包括：一般公共服务支出、社会保障和就业支出、医疗卫生与计划生育支出、住房保障支出。2022年收支总预算353.8万元,比2021年收支预算总数增加141.34万元。</w:t>
      </w:r>
    </w:p>
    <w:p>
      <w:pPr>
        <w:numPr>
          <w:ilvl w:val="0"/>
          <w:numId w:val="3"/>
        </w:numPr>
        <w:ind w:left="1120" w:leftChars="0" w:firstLine="0" w:firstLineChars="0"/>
        <w:outlineLvl w:val="1"/>
        <w:rPr>
          <w:rFonts w:hint="eastAsia" w:ascii="仿宋_GB2312" w:eastAsia="仿宋_GB2312"/>
          <w:color w:val="000000" w:themeColor="text1"/>
          <w:sz w:val="28"/>
          <w:szCs w:val="28"/>
          <w:shd w:val="clear" w:color="auto" w:fill="FFFFFF"/>
          <w14:textFill>
            <w14:solidFill>
              <w14:schemeClr w14:val="tx1"/>
            </w14:solidFill>
          </w14:textFill>
        </w:rPr>
      </w:pPr>
      <w:bookmarkStart w:id="5" w:name="_Toc22492"/>
      <w:r>
        <w:rPr>
          <w:rStyle w:val="10"/>
          <w:rFonts w:hint="eastAsia" w:ascii="楷体_GB2312" w:eastAsia="楷体_GB2312"/>
          <w:color w:val="000000" w:themeColor="text1"/>
          <w:sz w:val="28"/>
          <w:szCs w:val="28"/>
          <w14:textFill>
            <w14:solidFill>
              <w14:schemeClr w14:val="tx1"/>
            </w14:solidFill>
          </w14:textFill>
        </w:rPr>
        <w:t>收入预算情况。</w:t>
      </w:r>
      <w:bookmarkEnd w:id="5"/>
    </w:p>
    <w:p>
      <w:pPr>
        <w:numPr>
          <w:ilvl w:val="0"/>
          <w:numId w:val="0"/>
        </w:numPr>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20</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22</w:t>
      </w:r>
      <w:r>
        <w:rPr>
          <w:rFonts w:hint="eastAsia" w:ascii="仿宋_GB2312" w:eastAsia="仿宋_GB2312"/>
          <w:color w:val="000000" w:themeColor="text1"/>
          <w:sz w:val="28"/>
          <w:szCs w:val="28"/>
          <w:shd w:val="clear" w:color="auto" w:fill="FFFFFF"/>
          <w14:textFill>
            <w14:solidFill>
              <w14:schemeClr w14:val="tx1"/>
            </w14:solidFill>
          </w14:textFill>
        </w:rPr>
        <w:t>年收入预算</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万元，其中：上年结转0万元，占0%；一般公共预算拨款收入</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highlight w:val="none"/>
          <w:shd w:val="clear" w:color="auto" w:fill="FFFFFF"/>
          <w14:textFill>
            <w14:solidFill>
              <w14:schemeClr w14:val="tx1"/>
            </w14:solidFill>
          </w14:textFill>
        </w:rPr>
        <w:t>收入预算</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100</w:t>
      </w:r>
      <w:r>
        <w:rPr>
          <w:rFonts w:hint="eastAsia" w:ascii="仿宋_GB2312" w:eastAsia="仿宋_GB2312"/>
          <w:color w:val="000000" w:themeColor="text1"/>
          <w:sz w:val="28"/>
          <w:szCs w:val="28"/>
          <w:shd w:val="clear" w:color="auto" w:fill="FFFFFF"/>
          <w14:textFill>
            <w14:solidFill>
              <w14:schemeClr w14:val="tx1"/>
            </w14:solidFill>
          </w14:textFill>
        </w:rPr>
        <w:t>%。</w:t>
      </w:r>
    </w:p>
    <w:p>
      <w:pPr>
        <w:numPr>
          <w:ilvl w:val="0"/>
          <w:numId w:val="3"/>
        </w:numPr>
        <w:ind w:left="1120" w:leftChars="0" w:firstLine="0" w:firstLineChars="0"/>
        <w:outlineLvl w:val="1"/>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bookmarkStart w:id="6" w:name="_Toc32474"/>
      <w:r>
        <w:rPr>
          <w:rStyle w:val="10"/>
          <w:rFonts w:hint="eastAsia" w:ascii="楷体_GB2312" w:eastAsia="楷体_GB2312"/>
          <w:color w:val="000000" w:themeColor="text1"/>
          <w:sz w:val="28"/>
          <w:szCs w:val="28"/>
          <w14:textFill>
            <w14:solidFill>
              <w14:schemeClr w14:val="tx1"/>
            </w14:solidFill>
          </w14:textFill>
        </w:rPr>
        <w:t>支出预算情况。</w:t>
      </w:r>
      <w:bookmarkEnd w:id="6"/>
    </w:p>
    <w:p>
      <w:pPr>
        <w:numPr>
          <w:ilvl w:val="0"/>
          <w:numId w:val="0"/>
        </w:numPr>
        <w:ind w:firstLine="57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2021</w:t>
      </w:r>
      <w:r>
        <w:rPr>
          <w:rFonts w:hint="eastAsia" w:ascii="仿宋_GB2312" w:eastAsia="仿宋_GB2312"/>
          <w:color w:val="000000" w:themeColor="text1"/>
          <w:sz w:val="28"/>
          <w:szCs w:val="28"/>
          <w:shd w:val="clear" w:color="auto" w:fill="FFFFFF"/>
          <w14:textFill>
            <w14:solidFill>
              <w14:schemeClr w14:val="tx1"/>
            </w14:solidFill>
          </w14:textFill>
        </w:rPr>
        <w:t>年支出预算</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万元，其中：基本支出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100</w:t>
      </w:r>
      <w:r>
        <w:rPr>
          <w:rFonts w:hint="eastAsia" w:ascii="仿宋_GB2312" w:eastAsia="仿宋_GB2312"/>
          <w:color w:val="000000" w:themeColor="text1"/>
          <w:sz w:val="28"/>
          <w:szCs w:val="28"/>
          <w:shd w:val="clear" w:color="auto" w:fill="FFFFFF"/>
          <w14:textFill>
            <w14:solidFill>
              <w14:schemeClr w14:val="tx1"/>
            </w14:solidFill>
          </w14:textFill>
        </w:rPr>
        <w:t>%；项目支出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w:t>
      </w:r>
      <w:r>
        <w:rPr>
          <w:rFonts w:hint="eastAsia" w:ascii="仿宋_GB2312" w:eastAsia="仿宋_GB2312"/>
          <w:color w:val="000000" w:themeColor="text1"/>
          <w:sz w:val="28"/>
          <w:szCs w:val="28"/>
          <w:shd w:val="clear" w:color="auto" w:fill="FFFFFF"/>
          <w14:textFill>
            <w14:solidFill>
              <w14:schemeClr w14:val="tx1"/>
            </w14:solidFill>
          </w14:textFill>
        </w:rPr>
        <w:t>%</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,其他支出0万元，占0%</w:t>
      </w:r>
      <w:r>
        <w:rPr>
          <w:rFonts w:hint="eastAsia" w:ascii="仿宋_GB2312" w:eastAsia="仿宋_GB2312"/>
          <w:color w:val="000000" w:themeColor="text1"/>
          <w:sz w:val="28"/>
          <w:szCs w:val="28"/>
          <w:shd w:val="clear" w:color="auto" w:fill="FFFFFF"/>
          <w14:textFill>
            <w14:solidFill>
              <w14:schemeClr w14:val="tx1"/>
            </w14:solidFill>
          </w14:textFill>
        </w:rPr>
        <w:t>。</w:t>
      </w:r>
    </w:p>
    <w:p>
      <w:pPr>
        <w:numPr>
          <w:ilvl w:val="0"/>
          <w:numId w:val="2"/>
        </w:numPr>
        <w:ind w:left="0" w:leftChars="0" w:firstLine="0" w:firstLineChars="0"/>
        <w:outlineLvl w:val="0"/>
        <w:rPr>
          <w:rFonts w:hint="eastAsia" w:ascii="黑体" w:hAnsi="黑体" w:eastAsia="黑体"/>
          <w:b/>
          <w:bCs/>
          <w:color w:val="000000" w:themeColor="text1"/>
          <w:sz w:val="28"/>
          <w:szCs w:val="28"/>
          <w14:textFill>
            <w14:solidFill>
              <w14:schemeClr w14:val="tx1"/>
            </w14:solidFill>
          </w14:textFill>
        </w:rPr>
      </w:pPr>
      <w:bookmarkStart w:id="7" w:name="_Toc24816"/>
      <w:r>
        <w:rPr>
          <w:rFonts w:hint="eastAsia" w:ascii="黑体" w:hAnsi="黑体" w:eastAsia="黑体"/>
          <w:b/>
          <w:bCs/>
          <w:color w:val="000000" w:themeColor="text1"/>
          <w:sz w:val="28"/>
          <w:szCs w:val="28"/>
          <w14:textFill>
            <w14:solidFill>
              <w14:schemeClr w14:val="tx1"/>
            </w14:solidFill>
          </w14:textFill>
        </w:rPr>
        <w:t>财政拨款收支预算情况说明</w:t>
      </w:r>
      <w:bookmarkEnd w:id="7"/>
    </w:p>
    <w:p>
      <w:pPr>
        <w:numPr>
          <w:ilvl w:val="0"/>
          <w:numId w:val="0"/>
        </w:numPr>
        <w:ind w:leftChars="0"/>
        <w:outlineLvl w:val="9"/>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022</w:t>
      </w:r>
      <w:r>
        <w:rPr>
          <w:rFonts w:hint="eastAsia" w:ascii="仿宋_GB2312" w:eastAsia="仿宋_GB2312"/>
          <w:color w:val="000000" w:themeColor="text1"/>
          <w:sz w:val="28"/>
          <w:szCs w:val="28"/>
          <w:shd w:val="clear" w:color="auto" w:fill="FFFFFF"/>
          <w14:textFill>
            <w14:solidFill>
              <w14:schemeClr w14:val="tx1"/>
            </w14:solidFill>
          </w14:textFill>
        </w:rPr>
        <w:t>年财政拨款收支总预算</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万元,比</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2021</w:t>
      </w:r>
      <w:r>
        <w:rPr>
          <w:rFonts w:hint="eastAsia" w:ascii="仿宋_GB2312" w:eastAsia="仿宋_GB2312"/>
          <w:color w:val="000000" w:themeColor="text1"/>
          <w:sz w:val="28"/>
          <w:szCs w:val="28"/>
          <w:shd w:val="clear" w:color="auto" w:fill="FFFFFF"/>
          <w14:textFill>
            <w14:solidFill>
              <w14:schemeClr w14:val="tx1"/>
            </w14:solidFill>
          </w14:textFill>
        </w:rPr>
        <w:t>年财政拨款收支总预算</w:t>
      </w:r>
      <w:r>
        <w:rPr>
          <w:rFonts w:hint="eastAsia" w:ascii="仿宋_GB2312" w:eastAsia="仿宋_GB2312"/>
          <w:color w:val="000000" w:themeColor="text1"/>
          <w:sz w:val="28"/>
          <w:szCs w:val="28"/>
          <w:shd w:val="clear" w:color="auto" w:fill="FFFFFF"/>
          <w:lang w:eastAsia="zh-CN"/>
          <w14:textFill>
            <w14:solidFill>
              <w14:schemeClr w14:val="tx1"/>
            </w14:solidFill>
          </w14:textFill>
        </w:rPr>
        <w:t>增加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141.34万</w:t>
      </w:r>
      <w:r>
        <w:rPr>
          <w:rFonts w:hint="eastAsia" w:ascii="仿宋_GB2312" w:eastAsia="仿宋_GB2312"/>
          <w:color w:val="000000" w:themeColor="text1"/>
          <w:sz w:val="28"/>
          <w:szCs w:val="28"/>
          <w:shd w:val="clear" w:color="auto" w:fill="FFFFFF"/>
          <w14:textFill>
            <w14:solidFill>
              <w14:schemeClr w14:val="tx1"/>
            </w14:solidFill>
          </w14:textFill>
        </w:rPr>
        <w:t>元</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w:t>
      </w:r>
    </w:p>
    <w:p>
      <w:pPr>
        <w:numPr>
          <w:ilvl w:val="0"/>
          <w:numId w:val="0"/>
        </w:numPr>
        <w:ind w:firstLine="560" w:firstLineChars="200"/>
        <w:rPr>
          <w:rFonts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收入包括：本年一般公共预算拨款收入</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万元、上年结转</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0万元。</w:t>
      </w:r>
    </w:p>
    <w:p>
      <w:pPr>
        <w:ind w:firstLine="555"/>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支出包括：社会保障和就业支出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33.67</w:t>
      </w:r>
      <w:r>
        <w:rPr>
          <w:rFonts w:hint="eastAsia" w:ascii="仿宋_GB2312" w:eastAsia="仿宋_GB2312"/>
          <w:color w:val="000000" w:themeColor="text1"/>
          <w:sz w:val="28"/>
          <w:szCs w:val="28"/>
          <w:shd w:val="clear" w:color="auto" w:fill="FFFFFF"/>
          <w14:textFill>
            <w14:solidFill>
              <w14:schemeClr w14:val="tx1"/>
            </w14:solidFill>
          </w14:textFill>
        </w:rPr>
        <w:t>万元、医疗卫生与计划生育支出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14.83</w:t>
      </w:r>
      <w:r>
        <w:rPr>
          <w:rFonts w:hint="eastAsia" w:ascii="仿宋_GB2312" w:eastAsia="仿宋_GB2312"/>
          <w:color w:val="000000" w:themeColor="text1"/>
          <w:sz w:val="28"/>
          <w:szCs w:val="28"/>
          <w:shd w:val="clear" w:color="auto" w:fill="FFFFFF"/>
          <w14:textFill>
            <w14:solidFill>
              <w14:schemeClr w14:val="tx1"/>
            </w14:solidFill>
          </w14:textFill>
        </w:rPr>
        <w:t>万元、住房保障支出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29.66</w:t>
      </w:r>
      <w:r>
        <w:rPr>
          <w:rFonts w:hint="eastAsia" w:ascii="仿宋_GB2312" w:eastAsia="仿宋_GB2312"/>
          <w:color w:val="000000" w:themeColor="text1"/>
          <w:sz w:val="28"/>
          <w:szCs w:val="28"/>
          <w:shd w:val="clear" w:color="auto" w:fill="FFFFFF"/>
          <w14:textFill>
            <w14:solidFill>
              <w14:schemeClr w14:val="tx1"/>
            </w14:solidFill>
          </w14:textFill>
        </w:rPr>
        <w:t>万元</w:t>
      </w:r>
      <w:r>
        <w:rPr>
          <w:rFonts w:hint="eastAsia" w:ascii="仿宋_GB2312" w:eastAsia="仿宋_GB2312"/>
          <w:color w:val="000000" w:themeColor="text1"/>
          <w:sz w:val="28"/>
          <w:szCs w:val="28"/>
          <w:shd w:val="clear" w:color="auto" w:fill="FFFFFF"/>
          <w:lang w:eastAsia="zh-CN"/>
          <w14:textFill>
            <w14:solidFill>
              <w14:schemeClr w14:val="tx1"/>
            </w14:solidFill>
          </w14:textFill>
        </w:rPr>
        <w:t>、</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农林水支出275.64万元。</w:t>
      </w:r>
    </w:p>
    <w:p>
      <w:pPr>
        <w:numPr>
          <w:ilvl w:val="0"/>
          <w:numId w:val="2"/>
        </w:numPr>
        <w:ind w:left="0" w:leftChars="0" w:firstLine="0" w:firstLineChars="0"/>
        <w:outlineLvl w:val="0"/>
        <w:rPr>
          <w:rFonts w:hint="eastAsia" w:ascii="黑体" w:hAnsi="黑体" w:eastAsia="黑体"/>
          <w:b/>
          <w:bCs/>
          <w:color w:val="000000" w:themeColor="text1"/>
          <w:sz w:val="28"/>
          <w:szCs w:val="28"/>
          <w14:textFill>
            <w14:solidFill>
              <w14:schemeClr w14:val="tx1"/>
            </w14:solidFill>
          </w14:textFill>
        </w:rPr>
      </w:pPr>
      <w:bookmarkStart w:id="8" w:name="_Toc22703"/>
      <w:r>
        <w:rPr>
          <w:rFonts w:hint="eastAsia" w:ascii="黑体" w:hAnsi="黑体" w:eastAsia="黑体"/>
          <w:b/>
          <w:bCs/>
          <w:color w:val="000000" w:themeColor="text1"/>
          <w:sz w:val="28"/>
          <w:szCs w:val="28"/>
          <w14:textFill>
            <w14:solidFill>
              <w14:schemeClr w14:val="tx1"/>
            </w14:solidFill>
          </w14:textFill>
        </w:rPr>
        <w:t>一般公共预算当年拨款情况说明</w:t>
      </w:r>
      <w:bookmarkEnd w:id="8"/>
    </w:p>
    <w:p>
      <w:pPr>
        <w:numPr>
          <w:ilvl w:val="0"/>
          <w:numId w:val="4"/>
        </w:numPr>
        <w:ind w:left="56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9" w:name="_Toc28121"/>
      <w:r>
        <w:rPr>
          <w:rStyle w:val="10"/>
          <w:rFonts w:hint="eastAsia" w:ascii="楷体_GB2312" w:eastAsia="楷体_GB2312"/>
          <w:color w:val="000000" w:themeColor="text1"/>
          <w:sz w:val="28"/>
          <w:szCs w:val="28"/>
          <w14:textFill>
            <w14:solidFill>
              <w14:schemeClr w14:val="tx1"/>
            </w14:solidFill>
          </w14:textFill>
        </w:rPr>
        <w:t>一般公共预算当年拨款规模变化情况。</w:t>
      </w:r>
      <w:bookmarkEnd w:id="9"/>
    </w:p>
    <w:p>
      <w:pPr>
        <w:numPr>
          <w:ilvl w:val="0"/>
          <w:numId w:val="0"/>
        </w:numPr>
        <w:ind w:left="560" w:leftChars="0" w:firstLine="571"/>
        <w:outlineLvl w:val="9"/>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2022</w:t>
      </w:r>
      <w:r>
        <w:rPr>
          <w:rFonts w:hint="eastAsia" w:ascii="仿宋_GB2312" w:eastAsia="仿宋_GB2312"/>
          <w:color w:val="000000" w:themeColor="text1"/>
          <w:sz w:val="28"/>
          <w:szCs w:val="28"/>
          <w:shd w:val="clear" w:color="auto" w:fill="FFFFFF"/>
          <w14:textFill>
            <w14:solidFill>
              <w14:schemeClr w14:val="tx1"/>
            </w14:solidFill>
          </w14:textFill>
        </w:rPr>
        <w:t>年一般公共预算当年拨款</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万元，比</w:t>
      </w:r>
      <w:r>
        <w:rPr>
          <w:rFonts w:hint="eastAsia" w:ascii="仿宋_GB2312" w:eastAsia="仿宋_GB2312"/>
          <w:color w:val="000000" w:themeColor="text1"/>
          <w:sz w:val="28"/>
          <w:szCs w:val="28"/>
          <w:shd w:val="clear" w:color="auto" w:fill="FFFFFF"/>
          <w:lang w:eastAsia="zh-CN"/>
          <w14:textFill>
            <w14:solidFill>
              <w14:schemeClr w14:val="tx1"/>
            </w14:solidFill>
          </w14:textFill>
        </w:rPr>
        <w:t>20</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21</w:t>
      </w:r>
      <w:r>
        <w:rPr>
          <w:rFonts w:hint="eastAsia" w:ascii="仿宋_GB2312" w:eastAsia="仿宋_GB2312"/>
          <w:color w:val="000000" w:themeColor="text1"/>
          <w:sz w:val="28"/>
          <w:szCs w:val="28"/>
          <w:shd w:val="clear" w:color="auto" w:fill="FFFFFF"/>
          <w14:textFill>
            <w14:solidFill>
              <w14:schemeClr w14:val="tx1"/>
            </w14:solidFill>
          </w14:textFill>
        </w:rPr>
        <w:t>年预算数</w:t>
      </w:r>
      <w:r>
        <w:rPr>
          <w:rFonts w:hint="eastAsia" w:ascii="仿宋_GB2312" w:eastAsia="仿宋_GB2312"/>
          <w:color w:val="000000" w:themeColor="text1"/>
          <w:sz w:val="28"/>
          <w:szCs w:val="28"/>
          <w:shd w:val="clear" w:color="auto" w:fill="FFFFFF"/>
          <w:lang w:eastAsia="zh-CN"/>
          <w14:textFill>
            <w14:solidFill>
              <w14:schemeClr w14:val="tx1"/>
            </w14:solidFill>
          </w14:textFill>
        </w:rPr>
        <w:t>增加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141.34万</w:t>
      </w:r>
      <w:r>
        <w:rPr>
          <w:rFonts w:hint="eastAsia" w:ascii="仿宋_GB2312" w:eastAsia="仿宋_GB2312"/>
          <w:color w:val="000000" w:themeColor="text1"/>
          <w:sz w:val="28"/>
          <w:szCs w:val="28"/>
          <w:shd w:val="clear" w:color="auto" w:fill="FFFFFF"/>
          <w14:textFill>
            <w14:solidFill>
              <w14:schemeClr w14:val="tx1"/>
            </w14:solidFill>
          </w14:textFill>
        </w:rPr>
        <w:t>元</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w:t>
      </w:r>
    </w:p>
    <w:p>
      <w:pPr>
        <w:numPr>
          <w:ilvl w:val="0"/>
          <w:numId w:val="4"/>
        </w:numPr>
        <w:ind w:left="56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10" w:name="_Toc30166"/>
      <w:r>
        <w:rPr>
          <w:rStyle w:val="10"/>
          <w:rFonts w:hint="eastAsia" w:ascii="楷体_GB2312" w:eastAsia="楷体_GB2312"/>
          <w:color w:val="000000" w:themeColor="text1"/>
          <w:sz w:val="28"/>
          <w:szCs w:val="28"/>
          <w14:textFill>
            <w14:solidFill>
              <w14:schemeClr w14:val="tx1"/>
            </w14:solidFill>
          </w14:textFill>
        </w:rPr>
        <w:t>一般公共预算当年拨款结构情况。</w:t>
      </w:r>
      <w:bookmarkEnd w:id="10"/>
    </w:p>
    <w:p>
      <w:pPr>
        <w:numPr>
          <w:ilvl w:val="0"/>
          <w:numId w:val="0"/>
        </w:numPr>
        <w:ind w:left="560" w:leftChars="0" w:firstLine="560"/>
        <w:outlineLvl w:val="9"/>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农林水</w:t>
      </w:r>
      <w:r>
        <w:rPr>
          <w:rFonts w:hint="eastAsia" w:ascii="仿宋_GB2312" w:eastAsia="仿宋_GB2312"/>
          <w:color w:val="000000" w:themeColor="text1"/>
          <w:sz w:val="28"/>
          <w:szCs w:val="28"/>
          <w:shd w:val="clear" w:color="auto" w:fill="FFFFFF"/>
          <w14:textFill>
            <w14:solidFill>
              <w14:schemeClr w14:val="tx1"/>
            </w14:solidFill>
          </w14:textFill>
        </w:rPr>
        <w:t>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275.64</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77.91</w:t>
      </w:r>
      <w:r>
        <w:rPr>
          <w:rFonts w:hint="eastAsia" w:ascii="仿宋_GB2312" w:eastAsia="仿宋_GB2312"/>
          <w:color w:val="000000" w:themeColor="text1"/>
          <w:sz w:val="28"/>
          <w:szCs w:val="28"/>
          <w:shd w:val="clear" w:color="auto" w:fill="FFFFFF"/>
          <w14:textFill>
            <w14:solidFill>
              <w14:schemeClr w14:val="tx1"/>
            </w14:solidFill>
          </w14:textFill>
        </w:rPr>
        <w:t>%；社会保障和就业支出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33.67</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9.52</w:t>
      </w:r>
      <w:r>
        <w:rPr>
          <w:rFonts w:hint="eastAsia" w:ascii="仿宋_GB2312" w:eastAsia="仿宋_GB2312"/>
          <w:color w:val="000000" w:themeColor="text1"/>
          <w:sz w:val="28"/>
          <w:szCs w:val="28"/>
          <w:shd w:val="clear" w:color="auto" w:fill="FFFFFF"/>
          <w14:textFill>
            <w14:solidFill>
              <w14:schemeClr w14:val="tx1"/>
            </w14:solidFill>
          </w14:textFill>
        </w:rPr>
        <w:t>%；医疗卫生与计划生育支出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14.83</w:t>
      </w:r>
      <w:r>
        <w:rPr>
          <w:rFonts w:hint="eastAsia" w:ascii="仿宋_GB2312" w:eastAsia="仿宋_GB2312"/>
          <w:color w:val="000000" w:themeColor="text1"/>
          <w:sz w:val="28"/>
          <w:szCs w:val="28"/>
          <w:shd w:val="clear" w:color="auto" w:fill="FFFFFF"/>
          <w14:textFill>
            <w14:solidFill>
              <w14:schemeClr w14:val="tx1"/>
            </w14:solidFill>
          </w14:textFill>
        </w:rPr>
        <w:t>万元，占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4.19</w:t>
      </w:r>
      <w:r>
        <w:rPr>
          <w:rFonts w:hint="eastAsia" w:ascii="仿宋_GB2312" w:eastAsia="仿宋_GB2312"/>
          <w:color w:val="000000" w:themeColor="text1"/>
          <w:sz w:val="28"/>
          <w:szCs w:val="28"/>
          <w:shd w:val="clear" w:color="auto" w:fill="FFFFFF"/>
          <w14:textFill>
            <w14:solidFill>
              <w14:schemeClr w14:val="tx1"/>
            </w14:solidFill>
          </w14:textFill>
        </w:rPr>
        <w:t>%；住房保障支出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29.66</w:t>
      </w:r>
      <w:r>
        <w:rPr>
          <w:rFonts w:hint="eastAsia" w:ascii="仿宋_GB2312" w:eastAsia="仿宋_GB2312"/>
          <w:color w:val="000000" w:themeColor="text1"/>
          <w:sz w:val="28"/>
          <w:szCs w:val="28"/>
          <w:shd w:val="clear" w:color="auto" w:fill="FFFFFF"/>
          <w14:textFill>
            <w14:solidFill>
              <w14:schemeClr w14:val="tx1"/>
            </w14:solidFill>
          </w14:textFill>
        </w:rPr>
        <w:t>万元</w:t>
      </w:r>
      <w:r>
        <w:rPr>
          <w:rFonts w:hint="eastAsia" w:ascii="仿宋_GB2312" w:eastAsia="仿宋_GB2312"/>
          <w:color w:val="000000" w:themeColor="text1"/>
          <w:sz w:val="28"/>
          <w:szCs w:val="28"/>
          <w:shd w:val="clear" w:color="auto" w:fill="FFFFFF"/>
          <w:lang w:eastAsia="zh-CN"/>
          <w14:textFill>
            <w14:solidFill>
              <w14:schemeClr w14:val="tx1"/>
            </w14:solidFill>
          </w14:textFill>
        </w:rPr>
        <w:t>，</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占8.38</w:t>
      </w:r>
      <w:r>
        <w:rPr>
          <w:rFonts w:hint="eastAsia" w:ascii="仿宋_GB2312" w:eastAsia="仿宋_GB2312"/>
          <w:color w:val="000000" w:themeColor="text1"/>
          <w:sz w:val="28"/>
          <w:szCs w:val="28"/>
          <w:shd w:val="clear" w:color="auto" w:fill="FFFFFF"/>
          <w14:textFill>
            <w14:solidFill>
              <w14:schemeClr w14:val="tx1"/>
            </w14:solidFill>
          </w14:textFill>
        </w:rPr>
        <w:t>%</w:t>
      </w:r>
      <w:r>
        <w:rPr>
          <w:rFonts w:hint="eastAsia" w:ascii="仿宋_GB2312" w:eastAsia="仿宋_GB2312"/>
          <w:color w:val="000000" w:themeColor="text1"/>
          <w:sz w:val="28"/>
          <w:szCs w:val="28"/>
          <w:shd w:val="clear" w:color="auto" w:fill="FFFFFF"/>
          <w:lang w:eastAsia="zh-CN"/>
          <w14:textFill>
            <w14:solidFill>
              <w14:schemeClr w14:val="tx1"/>
            </w14:solidFill>
          </w14:textFill>
        </w:rPr>
        <w:t>；</w:t>
      </w:r>
    </w:p>
    <w:p>
      <w:pPr>
        <w:numPr>
          <w:ilvl w:val="0"/>
          <w:numId w:val="4"/>
        </w:numPr>
        <w:ind w:left="56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11" w:name="_Toc4451"/>
      <w:r>
        <w:rPr>
          <w:rStyle w:val="10"/>
          <w:rFonts w:hint="eastAsia" w:ascii="楷体_GB2312" w:eastAsia="楷体_GB2312"/>
          <w:color w:val="000000" w:themeColor="text1"/>
          <w:sz w:val="28"/>
          <w:szCs w:val="28"/>
          <w14:textFill>
            <w14:solidFill>
              <w14:schemeClr w14:val="tx1"/>
            </w14:solidFill>
          </w14:textFill>
        </w:rPr>
        <w:t>一般公共预算当年拨款具体使用情况。</w:t>
      </w:r>
      <w:bookmarkEnd w:id="11"/>
    </w:p>
    <w:p>
      <w:pPr>
        <w:numPr>
          <w:ilvl w:val="0"/>
          <w:numId w:val="0"/>
        </w:numPr>
        <w:ind w:left="560" w:leftChars="0"/>
        <w:outlineLvl w:val="9"/>
        <w:rPr>
          <w:rFonts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Style w:val="10"/>
          <w:rFonts w:hint="eastAsia" w:ascii="仿宋_GB2312" w:eastAsia="仿宋_GB2312"/>
          <w:color w:val="000000" w:themeColor="text1"/>
          <w:sz w:val="28"/>
          <w:szCs w:val="28"/>
          <w:lang w:val="en-US" w:eastAsia="zh-CN"/>
          <w14:textFill>
            <w14:solidFill>
              <w14:schemeClr w14:val="tx1"/>
            </w14:solidFill>
          </w14:textFill>
        </w:rPr>
        <w:t>1</w:t>
      </w:r>
      <w:r>
        <w:rPr>
          <w:rStyle w:val="10"/>
          <w:rFonts w:hint="eastAsia" w:ascii="仿宋_GB2312" w:eastAsia="仿宋_GB2312"/>
          <w:color w:val="000000" w:themeColor="text1"/>
          <w:sz w:val="28"/>
          <w:szCs w:val="28"/>
          <w14:textFill>
            <w14:solidFill>
              <w14:schemeClr w14:val="tx1"/>
            </w14:solidFill>
          </w14:textFill>
        </w:rPr>
        <w:t>.</w:t>
      </w:r>
      <w:r>
        <w:rPr>
          <w:rStyle w:val="10"/>
          <w:rFonts w:hint="eastAsia" w:ascii="仿宋_GB2312" w:eastAsia="仿宋_GB2312"/>
          <w:color w:val="000000" w:themeColor="text1"/>
          <w:sz w:val="28"/>
          <w:szCs w:val="28"/>
          <w:lang w:val="en-US" w:eastAsia="zh-CN"/>
          <w14:textFill>
            <w14:solidFill>
              <w14:schemeClr w14:val="tx1"/>
            </w14:solidFill>
          </w14:textFill>
        </w:rPr>
        <w:t>农林水支出</w:t>
      </w:r>
      <w:r>
        <w:rPr>
          <w:rStyle w:val="10"/>
          <w:rFonts w:hint="eastAsia" w:ascii="仿宋_GB2312" w:eastAsia="仿宋_GB2312"/>
          <w:color w:val="000000" w:themeColor="text1"/>
          <w:sz w:val="28"/>
          <w:szCs w:val="28"/>
          <w14:textFill>
            <w14:solidFill>
              <w14:schemeClr w14:val="tx1"/>
            </w14:solidFill>
          </w14:textFill>
        </w:rPr>
        <w:t>（类）</w:t>
      </w:r>
      <w:r>
        <w:rPr>
          <w:rStyle w:val="10"/>
          <w:rFonts w:hint="eastAsia" w:ascii="仿宋_GB2312" w:eastAsia="仿宋_GB2312"/>
          <w:color w:val="000000" w:themeColor="text1"/>
          <w:sz w:val="28"/>
          <w:szCs w:val="28"/>
          <w:lang w:val="en-US" w:eastAsia="zh-CN"/>
          <w14:textFill>
            <w14:solidFill>
              <w14:schemeClr w14:val="tx1"/>
            </w14:solidFill>
          </w14:textFill>
        </w:rPr>
        <w:t>农业</w:t>
      </w:r>
      <w:r>
        <w:rPr>
          <w:rStyle w:val="10"/>
          <w:rFonts w:hint="eastAsia" w:ascii="仿宋_GB2312" w:eastAsia="仿宋_GB2312"/>
          <w:color w:val="000000" w:themeColor="text1"/>
          <w:sz w:val="28"/>
          <w:szCs w:val="28"/>
          <w14:textFill>
            <w14:solidFill>
              <w14:schemeClr w14:val="tx1"/>
            </w14:solidFill>
          </w14:textFill>
        </w:rPr>
        <w:t>（款）</w:t>
      </w:r>
      <w:r>
        <w:rPr>
          <w:rStyle w:val="10"/>
          <w:rFonts w:hint="eastAsia" w:ascii="仿宋_GB2312" w:eastAsia="仿宋_GB2312"/>
          <w:color w:val="000000" w:themeColor="text1"/>
          <w:sz w:val="28"/>
          <w:szCs w:val="28"/>
          <w:lang w:eastAsia="zh-CN"/>
          <w14:textFill>
            <w14:solidFill>
              <w14:schemeClr w14:val="tx1"/>
            </w14:solidFill>
          </w14:textFill>
        </w:rPr>
        <w:t>事业</w:t>
      </w:r>
      <w:r>
        <w:rPr>
          <w:rStyle w:val="10"/>
          <w:rFonts w:hint="eastAsia" w:ascii="仿宋_GB2312" w:eastAsia="仿宋_GB2312"/>
          <w:color w:val="000000" w:themeColor="text1"/>
          <w:sz w:val="28"/>
          <w:szCs w:val="28"/>
          <w14:textFill>
            <w14:solidFill>
              <w14:schemeClr w14:val="tx1"/>
            </w14:solidFill>
          </w14:textFill>
        </w:rPr>
        <w:t>运行（项）</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年预算数</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276</w:t>
      </w:r>
      <w:r>
        <w:rPr>
          <w:rFonts w:hint="eastAsia" w:ascii="仿宋_GB2312" w:eastAsia="仿宋_GB2312"/>
          <w:color w:val="000000" w:themeColor="text1"/>
          <w:sz w:val="28"/>
          <w:szCs w:val="28"/>
          <w:shd w:val="clear" w:color="auto" w:fill="FFFFFF"/>
          <w14:textFill>
            <w14:solidFill>
              <w14:schemeClr w14:val="tx1"/>
            </w14:solidFill>
          </w14:textFill>
        </w:rPr>
        <w:t>万元，主要用于：机关及参公管理事业单位正常运转的基本支出，包括基本工资、津贴补贴等人员经费以及办公费、印刷费、水电费等日常公用经费。</w:t>
      </w:r>
    </w:p>
    <w:p>
      <w:pPr>
        <w:ind w:firstLine="562" w:firstLineChars="200"/>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Style w:val="10"/>
          <w:rFonts w:hint="eastAsia" w:ascii="仿宋_GB2312" w:eastAsia="仿宋_GB2312"/>
          <w:color w:val="000000" w:themeColor="text1"/>
          <w:sz w:val="28"/>
          <w:szCs w:val="28"/>
          <w:lang w:val="en-US" w:eastAsia="zh-CN"/>
          <w14:textFill>
            <w14:solidFill>
              <w14:schemeClr w14:val="tx1"/>
            </w14:solidFill>
          </w14:textFill>
        </w:rPr>
        <w:t>2、</w:t>
      </w:r>
      <w:r>
        <w:rPr>
          <w:rStyle w:val="10"/>
          <w:rFonts w:hint="eastAsia" w:ascii="仿宋_GB2312" w:eastAsia="仿宋_GB2312"/>
          <w:color w:val="000000" w:themeColor="text1"/>
          <w:sz w:val="28"/>
          <w:szCs w:val="28"/>
          <w14:textFill>
            <w14:solidFill>
              <w14:schemeClr w14:val="tx1"/>
            </w14:solidFill>
          </w14:textFill>
        </w:rPr>
        <w:t>社会保障和就业（类）行政事业单位离退休（款）机关事业单位基本养老保险缴费支出（项）</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年预算数为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34</w:t>
      </w:r>
      <w:r>
        <w:rPr>
          <w:rFonts w:hint="eastAsia" w:ascii="仿宋_GB2312" w:eastAsia="仿宋_GB2312"/>
          <w:color w:val="000000" w:themeColor="text1"/>
          <w:sz w:val="28"/>
          <w:szCs w:val="28"/>
          <w:shd w:val="clear" w:color="auto" w:fill="FFFFFF"/>
          <w14:textFill>
            <w14:solidFill>
              <w14:schemeClr w14:val="tx1"/>
            </w14:solidFill>
          </w14:textFill>
        </w:rPr>
        <w:t>万元，主要用于：实施养老保险制度后，部门按规定由单位缴纳的基本养老保险费支出。</w:t>
      </w:r>
    </w:p>
    <w:p>
      <w:pPr>
        <w:ind w:firstLine="560" w:firstLineChars="200"/>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Style w:val="10"/>
          <w:rFonts w:hint="eastAsia" w:ascii="仿宋_GB2312" w:eastAsia="仿宋_GB2312"/>
          <w:color w:val="000000" w:themeColor="text1"/>
          <w:sz w:val="28"/>
          <w:szCs w:val="28"/>
          <w:lang w:val="en-US" w:eastAsia="zh-CN"/>
          <w14:textFill>
            <w14:solidFill>
              <w14:schemeClr w14:val="tx1"/>
            </w14:solidFill>
          </w14:textFill>
        </w:rPr>
        <w:t>3</w:t>
      </w:r>
      <w:r>
        <w:rPr>
          <w:rStyle w:val="10"/>
          <w:rFonts w:hint="eastAsia" w:ascii="仿宋_GB2312" w:eastAsia="仿宋_GB2312"/>
          <w:color w:val="000000" w:themeColor="text1"/>
          <w:sz w:val="28"/>
          <w:szCs w:val="28"/>
          <w14:textFill>
            <w14:solidFill>
              <w14:schemeClr w14:val="tx1"/>
            </w14:solidFill>
          </w14:textFill>
        </w:rPr>
        <w:t>.医疗卫生与计划生育（类）行政事业单位医疗（款）事业单位医疗（项）</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年预算数为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15</w:t>
      </w:r>
      <w:r>
        <w:rPr>
          <w:rFonts w:hint="eastAsia" w:ascii="仿宋_GB2312" w:eastAsia="仿宋_GB2312"/>
          <w:color w:val="000000" w:themeColor="text1"/>
          <w:sz w:val="28"/>
          <w:szCs w:val="28"/>
          <w:shd w:val="clear" w:color="auto" w:fill="FFFFFF"/>
          <w14:textFill>
            <w14:solidFill>
              <w14:schemeClr w14:val="tx1"/>
            </w14:solidFill>
          </w14:textFill>
        </w:rPr>
        <w:t>万元，主要用于：部门下属事业单位基本医疗保险缴费支出。</w:t>
      </w:r>
    </w:p>
    <w:p>
      <w:pPr>
        <w:ind w:firstLine="560" w:firstLineChars="200"/>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Style w:val="10"/>
          <w:rFonts w:hint="eastAsia" w:ascii="仿宋_GB2312" w:eastAsia="仿宋_GB2312"/>
          <w:color w:val="000000" w:themeColor="text1"/>
          <w:sz w:val="28"/>
          <w:szCs w:val="28"/>
          <w:lang w:val="en-US" w:eastAsia="zh-CN"/>
          <w14:textFill>
            <w14:solidFill>
              <w14:schemeClr w14:val="tx1"/>
            </w14:solidFill>
          </w14:textFill>
        </w:rPr>
        <w:t>23</w:t>
      </w:r>
      <w:r>
        <w:rPr>
          <w:rStyle w:val="10"/>
          <w:rFonts w:hint="eastAsia" w:ascii="仿宋_GB2312" w:eastAsia="仿宋_GB2312"/>
          <w:color w:val="000000" w:themeColor="text1"/>
          <w:sz w:val="28"/>
          <w:szCs w:val="28"/>
          <w14:textFill>
            <w14:solidFill>
              <w14:schemeClr w14:val="tx1"/>
            </w14:solidFill>
          </w14:textFill>
        </w:rPr>
        <w:t>.住房保障（类）住房改革支出（款）住房公积金（项）</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年预算数为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30</w:t>
      </w:r>
      <w:r>
        <w:rPr>
          <w:rFonts w:hint="eastAsia" w:ascii="仿宋_GB2312" w:eastAsia="仿宋_GB2312"/>
          <w:color w:val="000000" w:themeColor="text1"/>
          <w:sz w:val="28"/>
          <w:szCs w:val="28"/>
          <w:shd w:val="clear" w:color="auto" w:fill="FFFFFF"/>
          <w14:textFill>
            <w14:solidFill>
              <w14:schemeClr w14:val="tx1"/>
            </w14:solidFill>
          </w14:textFill>
        </w:rPr>
        <w:t>万元，主要用于：部门按人力资源和社会保障部、财政部规定的基本工资和津贴补贴以及规定比例为职工缴纳的住房公积金支出。</w:t>
      </w:r>
    </w:p>
    <w:p>
      <w:pPr>
        <w:outlineLvl w:val="0"/>
        <w:rPr>
          <w:rFonts w:hint="eastAsia" w:ascii="黑体" w:hAnsi="黑体" w:eastAsia="黑体"/>
          <w:color w:val="000000" w:themeColor="text1"/>
          <w:sz w:val="28"/>
          <w:szCs w:val="28"/>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bookmarkStart w:id="12" w:name="_Toc18019"/>
      <w:r>
        <w:rPr>
          <w:rFonts w:hint="eastAsia" w:ascii="黑体" w:hAnsi="黑体" w:eastAsia="黑体"/>
          <w:color w:val="000000" w:themeColor="text1"/>
          <w:sz w:val="28"/>
          <w:szCs w:val="28"/>
          <w14:textFill>
            <w14:solidFill>
              <w14:schemeClr w14:val="tx1"/>
            </w14:solidFill>
          </w14:textFill>
        </w:rPr>
        <w:t>六、一般公共预算基本支出情况说明</w:t>
      </w:r>
      <w:bookmarkEnd w:id="12"/>
    </w:p>
    <w:p>
      <w:p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2022</w:t>
      </w:r>
      <w:r>
        <w:rPr>
          <w:rFonts w:hint="eastAsia" w:ascii="仿宋_GB2312" w:eastAsia="仿宋_GB2312"/>
          <w:color w:val="000000" w:themeColor="text1"/>
          <w:sz w:val="28"/>
          <w:szCs w:val="28"/>
          <w:shd w:val="clear" w:color="auto" w:fill="FFFFFF"/>
          <w14:textFill>
            <w14:solidFill>
              <w14:schemeClr w14:val="tx1"/>
            </w14:solidFill>
          </w14:textFill>
        </w:rPr>
        <w:t>年一般公共预算基本支出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万元，其中：1、人员经费</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328.65</w:t>
      </w:r>
      <w:r>
        <w:rPr>
          <w:rFonts w:hint="eastAsia" w:ascii="仿宋_GB2312" w:eastAsia="仿宋_GB2312"/>
          <w:color w:val="000000" w:themeColor="text1"/>
          <w:sz w:val="28"/>
          <w:szCs w:val="28"/>
          <w:shd w:val="clear" w:color="auto" w:fill="FFFFFF"/>
          <w14:textFill>
            <w14:solidFill>
              <w14:schemeClr w14:val="tx1"/>
            </w14:solidFill>
          </w14:textFill>
        </w:rPr>
        <w:t>万元，主要包括：基本工资、津贴补贴、奖金、社会保险缴费等支出；2、公用经费</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25.08</w:t>
      </w:r>
      <w:r>
        <w:rPr>
          <w:rFonts w:hint="eastAsia" w:ascii="仿宋_GB2312" w:eastAsia="仿宋_GB2312"/>
          <w:color w:val="000000" w:themeColor="text1"/>
          <w:sz w:val="28"/>
          <w:szCs w:val="28"/>
          <w:shd w:val="clear" w:color="auto" w:fill="FFFFFF"/>
          <w14:textFill>
            <w14:solidFill>
              <w14:schemeClr w14:val="tx1"/>
            </w14:solidFill>
          </w14:textFill>
        </w:rPr>
        <w:t>万元，主要包括：办公费、水费、电费、邮电费、印刷费、差旅费、维修（护）费、劳务费等支出。</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3，对个人和家庭补助0.07万元，主要包括：生活补助、奖励金等支出。</w:t>
      </w:r>
      <w:r>
        <w:rPr>
          <w:rFonts w:hint="eastAsia" w:ascii="仿宋_GB2312" w:eastAsia="仿宋_GB2312"/>
          <w:color w:val="000000" w:themeColor="text1"/>
          <w:sz w:val="28"/>
          <w:szCs w:val="28"/>
          <w:shd w:val="clear" w:color="auto" w:fill="FFFFFF"/>
          <w14:textFill>
            <w14:solidFill>
              <w14:schemeClr w14:val="tx1"/>
            </w14:solidFill>
          </w14:textFill>
        </w:rPr>
        <w:t>　</w:t>
      </w:r>
    </w:p>
    <w:p>
      <w:pPr>
        <w:numPr>
          <w:ilvl w:val="0"/>
          <w:numId w:val="0"/>
        </w:numPr>
        <w:ind w:leftChars="0"/>
        <w:outlineLvl w:val="0"/>
        <w:rPr>
          <w:rFonts w:hint="eastAsia" w:ascii="黑体" w:hAnsi="黑体" w:eastAsia="黑体"/>
          <w:color w:val="000000" w:themeColor="text1"/>
          <w:sz w:val="28"/>
          <w:szCs w:val="28"/>
          <w14:textFill>
            <w14:solidFill>
              <w14:schemeClr w14:val="tx1"/>
            </w14:solidFill>
          </w14:textFill>
        </w:rPr>
      </w:pPr>
      <w:bookmarkStart w:id="13" w:name="_Toc27100"/>
      <w:r>
        <w:rPr>
          <w:rFonts w:hint="eastAsia" w:ascii="黑体" w:hAnsi="黑体" w:eastAsia="黑体"/>
          <w:color w:val="000000" w:themeColor="text1"/>
          <w:sz w:val="28"/>
          <w:szCs w:val="28"/>
          <w:lang w:eastAsia="zh-CN"/>
          <w14:textFill>
            <w14:solidFill>
              <w14:schemeClr w14:val="tx1"/>
            </w14:solidFill>
          </w14:textFill>
        </w:rPr>
        <w:t>七、</w:t>
      </w:r>
      <w:r>
        <w:rPr>
          <w:rFonts w:hint="eastAsia" w:ascii="黑体" w:hAnsi="黑体" w:eastAsia="黑体"/>
          <w:color w:val="000000" w:themeColor="text1"/>
          <w:sz w:val="28"/>
          <w:szCs w:val="28"/>
          <w14:textFill>
            <w14:solidFill>
              <w14:schemeClr w14:val="tx1"/>
            </w14:solidFill>
          </w14:textFill>
        </w:rPr>
        <w:t>“三公”经费财政拨款预算安排情况说明</w:t>
      </w:r>
      <w:bookmarkEnd w:id="13"/>
    </w:p>
    <w:p>
      <w:pPr>
        <w:numPr>
          <w:ilvl w:val="0"/>
          <w:numId w:val="0"/>
        </w:numPr>
        <w:ind w:leftChars="0" w:firstLine="568"/>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年“三公”经费财政拨款预算数</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w:t>
      </w:r>
      <w:r>
        <w:rPr>
          <w:rFonts w:hint="eastAsia" w:ascii="仿宋_GB2312" w:eastAsia="仿宋_GB2312"/>
          <w:color w:val="000000" w:themeColor="text1"/>
          <w:sz w:val="28"/>
          <w:szCs w:val="28"/>
          <w:shd w:val="clear" w:color="auto" w:fill="FFFFFF"/>
          <w14:textFill>
            <w14:solidFill>
              <w14:schemeClr w14:val="tx1"/>
            </w14:solidFill>
          </w14:textFill>
        </w:rPr>
        <w:t>万元，其中：因公出国（境）经费0万元，公务接待费</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0</w:t>
      </w:r>
      <w:r>
        <w:rPr>
          <w:rFonts w:hint="eastAsia" w:ascii="仿宋_GB2312" w:eastAsia="仿宋_GB2312"/>
          <w:color w:val="000000" w:themeColor="text1"/>
          <w:sz w:val="28"/>
          <w:szCs w:val="28"/>
          <w:shd w:val="clear" w:color="auto" w:fill="FFFFFF"/>
          <w14:textFill>
            <w14:solidFill>
              <w14:schemeClr w14:val="tx1"/>
            </w14:solidFill>
          </w14:textFill>
        </w:rPr>
        <w:t>万元，公务用车购置及运行维护费0万元。</w:t>
      </w:r>
    </w:p>
    <w:p>
      <w:pPr>
        <w:numPr>
          <w:ilvl w:val="0"/>
          <w:numId w:val="5"/>
        </w:numPr>
        <w:ind w:left="1128"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14" w:name="_Toc27574"/>
      <w:r>
        <w:rPr>
          <w:rStyle w:val="10"/>
          <w:rFonts w:hint="eastAsia" w:ascii="楷体_GB2312" w:eastAsia="楷体_GB2312"/>
          <w:color w:val="000000" w:themeColor="text1"/>
          <w:sz w:val="28"/>
          <w:szCs w:val="28"/>
          <w14:textFill>
            <w14:solidFill>
              <w14:schemeClr w14:val="tx1"/>
            </w14:solidFill>
          </w14:textFill>
        </w:rPr>
        <w:t>因公出国（境）经费与</w:t>
      </w:r>
      <w:r>
        <w:rPr>
          <w:rStyle w:val="10"/>
          <w:rFonts w:hint="eastAsia" w:ascii="楷体_GB2312" w:eastAsia="楷体_GB2312"/>
          <w:color w:val="000000" w:themeColor="text1"/>
          <w:sz w:val="28"/>
          <w:szCs w:val="28"/>
          <w:lang w:eastAsia="zh-CN"/>
          <w14:textFill>
            <w14:solidFill>
              <w14:schemeClr w14:val="tx1"/>
            </w14:solidFill>
          </w14:textFill>
        </w:rPr>
        <w:t>20</w:t>
      </w:r>
      <w:r>
        <w:rPr>
          <w:rStyle w:val="10"/>
          <w:rFonts w:hint="eastAsia" w:ascii="楷体_GB2312" w:eastAsia="楷体_GB2312"/>
          <w:color w:val="000000" w:themeColor="text1"/>
          <w:sz w:val="28"/>
          <w:szCs w:val="28"/>
          <w:lang w:val="en-US" w:eastAsia="zh-CN"/>
          <w14:textFill>
            <w14:solidFill>
              <w14:schemeClr w14:val="tx1"/>
            </w14:solidFill>
          </w14:textFill>
        </w:rPr>
        <w:t>21</w:t>
      </w:r>
      <w:r>
        <w:rPr>
          <w:rStyle w:val="10"/>
          <w:rFonts w:hint="eastAsia" w:ascii="楷体_GB2312" w:eastAsia="楷体_GB2312"/>
          <w:color w:val="000000" w:themeColor="text1"/>
          <w:sz w:val="28"/>
          <w:szCs w:val="28"/>
          <w14:textFill>
            <w14:solidFill>
              <w14:schemeClr w14:val="tx1"/>
            </w14:solidFill>
          </w14:textFill>
        </w:rPr>
        <w:t>年预算持平。</w:t>
      </w:r>
      <w:bookmarkEnd w:id="14"/>
    </w:p>
    <w:p>
      <w:pPr>
        <w:numPr>
          <w:ilvl w:val="0"/>
          <w:numId w:val="0"/>
        </w:numPr>
        <w:ind w:firstLine="563"/>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根据省外侨办批准的</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年因公临时出国（境）安排，拟安排出国（境）0人。</w:t>
      </w:r>
    </w:p>
    <w:p>
      <w:pPr>
        <w:numPr>
          <w:ilvl w:val="0"/>
          <w:numId w:val="5"/>
        </w:numPr>
        <w:ind w:left="1128"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15" w:name="_Toc17995"/>
      <w:r>
        <w:rPr>
          <w:rStyle w:val="10"/>
          <w:rFonts w:hint="eastAsia" w:ascii="楷体_GB2312" w:eastAsia="楷体_GB2312"/>
          <w:color w:val="000000" w:themeColor="text1"/>
          <w:sz w:val="28"/>
          <w:szCs w:val="28"/>
          <w14:textFill>
            <w14:solidFill>
              <w14:schemeClr w14:val="tx1"/>
            </w14:solidFill>
          </w14:textFill>
        </w:rPr>
        <w:t>公务接待费较</w:t>
      </w:r>
      <w:r>
        <w:rPr>
          <w:rStyle w:val="10"/>
          <w:rFonts w:hint="eastAsia" w:ascii="楷体_GB2312" w:eastAsia="楷体_GB2312"/>
          <w:color w:val="000000" w:themeColor="text1"/>
          <w:sz w:val="28"/>
          <w:szCs w:val="28"/>
          <w:lang w:eastAsia="zh-CN"/>
          <w14:textFill>
            <w14:solidFill>
              <w14:schemeClr w14:val="tx1"/>
            </w14:solidFill>
          </w14:textFill>
        </w:rPr>
        <w:t>20</w:t>
      </w:r>
      <w:r>
        <w:rPr>
          <w:rStyle w:val="10"/>
          <w:rFonts w:hint="eastAsia" w:ascii="楷体_GB2312" w:eastAsia="楷体_GB2312"/>
          <w:color w:val="000000" w:themeColor="text1"/>
          <w:sz w:val="28"/>
          <w:szCs w:val="28"/>
          <w:lang w:val="en-US" w:eastAsia="zh-CN"/>
          <w14:textFill>
            <w14:solidFill>
              <w14:schemeClr w14:val="tx1"/>
            </w14:solidFill>
          </w14:textFill>
        </w:rPr>
        <w:t>21</w:t>
      </w:r>
      <w:r>
        <w:rPr>
          <w:rStyle w:val="10"/>
          <w:rFonts w:hint="eastAsia" w:ascii="楷体_GB2312" w:eastAsia="楷体_GB2312"/>
          <w:color w:val="000000" w:themeColor="text1"/>
          <w:sz w:val="28"/>
          <w:szCs w:val="28"/>
          <w14:textFill>
            <w14:solidFill>
              <w14:schemeClr w14:val="tx1"/>
            </w14:solidFill>
          </w14:textFill>
        </w:rPr>
        <w:t>年预算持平。</w:t>
      </w:r>
      <w:bookmarkEnd w:id="15"/>
    </w:p>
    <w:p>
      <w:pPr>
        <w:numPr>
          <w:ilvl w:val="0"/>
          <w:numId w:val="0"/>
        </w:numPr>
        <w:ind w:firstLine="568"/>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年公务接待费计划用于执行公务、考察调研、检查指导等公务活动开支的交通费、住宿费、用餐费等。</w:t>
      </w:r>
    </w:p>
    <w:p>
      <w:pPr>
        <w:numPr>
          <w:ilvl w:val="0"/>
          <w:numId w:val="5"/>
        </w:numPr>
        <w:ind w:left="1128"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16" w:name="_Toc26451"/>
      <w:r>
        <w:rPr>
          <w:rStyle w:val="10"/>
          <w:rFonts w:hint="eastAsia" w:ascii="楷体_GB2312" w:eastAsia="楷体_GB2312"/>
          <w:color w:val="000000" w:themeColor="text1"/>
          <w:sz w:val="28"/>
          <w:szCs w:val="28"/>
          <w14:textFill>
            <w14:solidFill>
              <w14:schemeClr w14:val="tx1"/>
            </w14:solidFill>
          </w14:textFill>
        </w:rPr>
        <w:t>公务用车购置及运行维护费与</w:t>
      </w:r>
      <w:r>
        <w:rPr>
          <w:rStyle w:val="10"/>
          <w:rFonts w:hint="eastAsia" w:ascii="楷体_GB2312" w:eastAsia="楷体_GB2312"/>
          <w:color w:val="000000" w:themeColor="text1"/>
          <w:sz w:val="28"/>
          <w:szCs w:val="28"/>
          <w:lang w:eastAsia="zh-CN"/>
          <w14:textFill>
            <w14:solidFill>
              <w14:schemeClr w14:val="tx1"/>
            </w14:solidFill>
          </w14:textFill>
        </w:rPr>
        <w:t>20</w:t>
      </w:r>
      <w:r>
        <w:rPr>
          <w:rStyle w:val="10"/>
          <w:rFonts w:hint="eastAsia" w:ascii="楷体_GB2312" w:eastAsia="楷体_GB2312"/>
          <w:color w:val="000000" w:themeColor="text1"/>
          <w:sz w:val="28"/>
          <w:szCs w:val="28"/>
          <w:lang w:val="en-US" w:eastAsia="zh-CN"/>
          <w14:textFill>
            <w14:solidFill>
              <w14:schemeClr w14:val="tx1"/>
            </w14:solidFill>
          </w14:textFill>
        </w:rPr>
        <w:t>21</w:t>
      </w:r>
      <w:r>
        <w:rPr>
          <w:rStyle w:val="10"/>
          <w:rFonts w:hint="eastAsia" w:ascii="楷体_GB2312" w:eastAsia="楷体_GB2312"/>
          <w:color w:val="000000" w:themeColor="text1"/>
          <w:sz w:val="28"/>
          <w:szCs w:val="28"/>
          <w14:textFill>
            <w14:solidFill>
              <w14:schemeClr w14:val="tx1"/>
            </w14:solidFill>
          </w14:textFill>
        </w:rPr>
        <w:t>年预算持平。</w:t>
      </w:r>
      <w:bookmarkEnd w:id="16"/>
    </w:p>
    <w:p>
      <w:pPr>
        <w:numPr>
          <w:ilvl w:val="0"/>
          <w:numId w:val="0"/>
        </w:numPr>
        <w:ind w:firstLine="560"/>
        <w:outlineLvl w:val="9"/>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单位现有公务用车0辆。</w:t>
      </w:r>
    </w:p>
    <w:p>
      <w:pPr>
        <w:numPr>
          <w:ilvl w:val="0"/>
          <w:numId w:val="0"/>
        </w:numPr>
        <w:ind w:firstLine="560"/>
        <w:outlineLvl w:val="9"/>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年未安排公务用车购置费。</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年未安排公务用车运行维护费。</w:t>
      </w:r>
    </w:p>
    <w:p>
      <w:pPr>
        <w:numPr>
          <w:ilvl w:val="0"/>
          <w:numId w:val="6"/>
        </w:numPr>
        <w:ind w:left="-350" w:leftChars="0" w:firstLine="560" w:firstLineChars="0"/>
        <w:outlineLvl w:val="0"/>
        <w:rPr>
          <w:rFonts w:hint="eastAsia" w:ascii="仿宋_GB2312" w:eastAsia="仿宋_GB2312"/>
          <w:color w:val="000000" w:themeColor="text1"/>
          <w:sz w:val="28"/>
          <w:szCs w:val="28"/>
          <w:shd w:val="clear" w:color="auto" w:fill="FFFFFF"/>
          <w:lang w:eastAsia="zh-CN"/>
          <w14:textFill>
            <w14:solidFill>
              <w14:schemeClr w14:val="tx1"/>
            </w14:solidFill>
          </w14:textFill>
        </w:rPr>
      </w:pPr>
      <w:bookmarkStart w:id="17" w:name="_Toc15954"/>
      <w:r>
        <w:rPr>
          <w:rFonts w:hint="eastAsia" w:ascii="黑体" w:hAnsi="黑体" w:eastAsia="黑体"/>
          <w:color w:val="000000" w:themeColor="text1"/>
          <w:sz w:val="28"/>
          <w:szCs w:val="28"/>
          <w14:textFill>
            <w14:solidFill>
              <w14:schemeClr w14:val="tx1"/>
            </w14:solidFill>
          </w14:textFill>
        </w:rPr>
        <w:t>政府性基金预算支出情况说明</w:t>
      </w:r>
      <w:bookmarkEnd w:id="17"/>
    </w:p>
    <w:p>
      <w:pPr>
        <w:numPr>
          <w:ilvl w:val="0"/>
          <w:numId w:val="0"/>
        </w:numPr>
        <w:outlineLvl w:val="9"/>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lang w:eastAsia="zh-CN"/>
          <w14:textFill>
            <w14:solidFill>
              <w14:schemeClr w14:val="tx1"/>
            </w14:solidFill>
          </w14:textFill>
        </w:rPr>
        <w:t>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年没有使用政府性基金预算拨款安排的支出。</w:t>
      </w:r>
    </w:p>
    <w:p>
      <w:pPr>
        <w:numPr>
          <w:ilvl w:val="0"/>
          <w:numId w:val="6"/>
        </w:numPr>
        <w:ind w:left="-350" w:leftChars="0" w:firstLine="560" w:firstLineChars="0"/>
        <w:outlineLvl w:val="0"/>
        <w:rPr>
          <w:rFonts w:hint="eastAsia" w:ascii="仿宋_GB2312" w:eastAsia="仿宋_GB2312"/>
          <w:color w:val="000000" w:themeColor="text1"/>
          <w:sz w:val="28"/>
          <w:szCs w:val="28"/>
          <w:shd w:val="clear" w:color="auto" w:fill="FFFFFF"/>
          <w:lang w:eastAsia="zh-CN"/>
          <w14:textFill>
            <w14:solidFill>
              <w14:schemeClr w14:val="tx1"/>
            </w14:solidFill>
          </w14:textFill>
        </w:rPr>
      </w:pPr>
      <w:bookmarkStart w:id="18" w:name="_Toc26048"/>
      <w:r>
        <w:rPr>
          <w:rFonts w:hint="eastAsia" w:ascii="黑体" w:hAnsi="黑体" w:eastAsia="黑体"/>
          <w:color w:val="000000" w:themeColor="text1"/>
          <w:sz w:val="28"/>
          <w:szCs w:val="28"/>
          <w14:textFill>
            <w14:solidFill>
              <w14:schemeClr w14:val="tx1"/>
            </w14:solidFill>
          </w14:textFill>
        </w:rPr>
        <w:t>国有资本经营预算支出情况说明</w:t>
      </w:r>
      <w:bookmarkEnd w:id="18"/>
    </w:p>
    <w:p>
      <w:pPr>
        <w:numPr>
          <w:ilvl w:val="0"/>
          <w:numId w:val="0"/>
        </w:numPr>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年没有使用国有资本经营预算拨款安排的支出。</w:t>
      </w:r>
    </w:p>
    <w:p>
      <w:pPr>
        <w:numPr>
          <w:ilvl w:val="0"/>
          <w:numId w:val="6"/>
        </w:numPr>
        <w:ind w:left="-350" w:leftChars="0" w:firstLine="560" w:firstLineChars="0"/>
        <w:outlineLvl w:val="0"/>
        <w:rPr>
          <w:rFonts w:hint="eastAsia" w:ascii="黑体" w:hAnsi="黑体" w:eastAsia="黑体"/>
          <w:color w:val="000000" w:themeColor="text1"/>
          <w:sz w:val="28"/>
          <w:szCs w:val="28"/>
          <w14:textFill>
            <w14:solidFill>
              <w14:schemeClr w14:val="tx1"/>
            </w14:solidFill>
          </w14:textFill>
        </w:rPr>
      </w:pPr>
      <w:bookmarkStart w:id="19" w:name="_Toc6694"/>
      <w:r>
        <w:rPr>
          <w:rFonts w:hint="eastAsia" w:ascii="黑体" w:hAnsi="黑体" w:eastAsia="黑体"/>
          <w:color w:val="000000" w:themeColor="text1"/>
          <w:sz w:val="28"/>
          <w:szCs w:val="28"/>
          <w14:textFill>
            <w14:solidFill>
              <w14:schemeClr w14:val="tx1"/>
            </w14:solidFill>
          </w14:textFill>
        </w:rPr>
        <w:t>其他重要事项的情况说明</w:t>
      </w:r>
      <w:bookmarkEnd w:id="19"/>
    </w:p>
    <w:p>
      <w:pPr>
        <w:numPr>
          <w:ilvl w:val="0"/>
          <w:numId w:val="7"/>
        </w:numPr>
        <w:ind w:left="112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20" w:name="_Toc11544"/>
      <w:r>
        <w:rPr>
          <w:rStyle w:val="10"/>
          <w:rFonts w:hint="eastAsia" w:ascii="楷体_GB2312" w:eastAsia="楷体_GB2312"/>
          <w:color w:val="000000" w:themeColor="text1"/>
          <w:sz w:val="28"/>
          <w:szCs w:val="28"/>
          <w14:textFill>
            <w14:solidFill>
              <w14:schemeClr w14:val="tx1"/>
            </w14:solidFill>
          </w14:textFill>
        </w:rPr>
        <w:t>机关运行经费。</w:t>
      </w:r>
      <w:bookmarkEnd w:id="20"/>
    </w:p>
    <w:p>
      <w:pPr>
        <w:numPr>
          <w:ilvl w:val="0"/>
          <w:numId w:val="0"/>
        </w:numPr>
        <w:outlineLvl w:val="9"/>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 xml:space="preserve">  </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年，机关运行经费财政拨款预算为</w:t>
      </w:r>
      <w:r>
        <w:rPr>
          <w:rFonts w:hint="eastAsia" w:ascii="仿宋_GB2312" w:eastAsia="仿宋_GB2312"/>
          <w:color w:val="000000" w:themeColor="text1"/>
          <w:sz w:val="28"/>
          <w:szCs w:val="28"/>
          <w:highlight w:val="none"/>
          <w:shd w:val="clear" w:color="auto" w:fill="FFFFFF"/>
          <w:lang w:val="en-US" w:eastAsia="zh-CN"/>
          <w14:textFill>
            <w14:solidFill>
              <w14:schemeClr w14:val="tx1"/>
            </w14:solidFill>
          </w14:textFill>
        </w:rPr>
        <w:t>353.8</w:t>
      </w:r>
      <w:r>
        <w:rPr>
          <w:rFonts w:hint="eastAsia" w:ascii="仿宋_GB2312" w:eastAsia="仿宋_GB2312"/>
          <w:color w:val="000000" w:themeColor="text1"/>
          <w:sz w:val="28"/>
          <w:szCs w:val="28"/>
          <w:shd w:val="clear" w:color="auto" w:fill="FFFFFF"/>
          <w14:textFill>
            <w14:solidFill>
              <w14:schemeClr w14:val="tx1"/>
            </w14:solidFill>
          </w14:textFill>
        </w:rPr>
        <w:t>万元，比</w:t>
      </w:r>
      <w:r>
        <w:rPr>
          <w:rFonts w:hint="eastAsia" w:ascii="仿宋_GB2312" w:eastAsia="仿宋_GB2312"/>
          <w:color w:val="000000" w:themeColor="text1"/>
          <w:sz w:val="28"/>
          <w:szCs w:val="28"/>
          <w:shd w:val="clear" w:color="auto" w:fill="FFFFFF"/>
          <w:lang w:eastAsia="zh-CN"/>
          <w14:textFill>
            <w14:solidFill>
              <w14:schemeClr w14:val="tx1"/>
            </w14:solidFill>
          </w14:textFill>
        </w:rPr>
        <w:t>20</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w:t>
      </w:r>
      <w:r>
        <w:rPr>
          <w:rFonts w:hint="eastAsia" w:ascii="仿宋_GB2312" w:eastAsia="仿宋_GB2312"/>
          <w:color w:val="000000" w:themeColor="text1"/>
          <w:sz w:val="28"/>
          <w:szCs w:val="28"/>
          <w:shd w:val="clear" w:color="auto" w:fill="FFFFFF"/>
          <w14:textFill>
            <w14:solidFill>
              <w14:schemeClr w14:val="tx1"/>
            </w14:solidFill>
          </w14:textFill>
        </w:rPr>
        <w:t>年预算</w:t>
      </w:r>
      <w:r>
        <w:rPr>
          <w:rFonts w:hint="eastAsia" w:ascii="仿宋_GB2312" w:eastAsia="仿宋_GB2312"/>
          <w:color w:val="000000" w:themeColor="text1"/>
          <w:sz w:val="28"/>
          <w:szCs w:val="28"/>
          <w:shd w:val="clear" w:color="auto" w:fill="FFFFFF"/>
          <w:lang w:eastAsia="zh-CN"/>
          <w14:textFill>
            <w14:solidFill>
              <w14:schemeClr w14:val="tx1"/>
            </w14:solidFill>
          </w14:textFill>
        </w:rPr>
        <w:t>增加</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141.34</w:t>
      </w:r>
      <w:r>
        <w:rPr>
          <w:rFonts w:hint="eastAsia" w:ascii="仿宋_GB2312" w:eastAsia="仿宋_GB2312"/>
          <w:color w:val="000000" w:themeColor="text1"/>
          <w:sz w:val="28"/>
          <w:szCs w:val="28"/>
          <w:shd w:val="clear" w:color="auto" w:fill="FFFFFF"/>
          <w14:textFill>
            <w14:solidFill>
              <w14:schemeClr w14:val="tx1"/>
            </w14:solidFill>
          </w14:textFill>
        </w:rPr>
        <w:t>万元，</w:t>
      </w:r>
      <w:r>
        <w:rPr>
          <w:rFonts w:hint="eastAsia" w:ascii="仿宋_GB2312" w:eastAsia="仿宋_GB2312"/>
          <w:color w:val="000000" w:themeColor="text1"/>
          <w:sz w:val="28"/>
          <w:szCs w:val="28"/>
          <w:shd w:val="clear" w:color="auto" w:fill="FFFFFF"/>
          <w:lang w:eastAsia="zh-CN"/>
          <w14:textFill>
            <w14:solidFill>
              <w14:schemeClr w14:val="tx1"/>
            </w14:solidFill>
          </w14:textFill>
        </w:rPr>
        <w:t>减少</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66.53</w:t>
      </w:r>
      <w:r>
        <w:rPr>
          <w:rFonts w:hint="eastAsia" w:ascii="仿宋_GB2312" w:eastAsia="仿宋_GB2312"/>
          <w:color w:val="000000" w:themeColor="text1"/>
          <w:sz w:val="28"/>
          <w:szCs w:val="28"/>
          <w:shd w:val="clear" w:color="auto" w:fill="FFFFFF"/>
          <w14:textFill>
            <w14:solidFill>
              <w14:schemeClr w14:val="tx1"/>
            </w14:solidFill>
          </w14:textFill>
        </w:rPr>
        <w:t>%</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w:t>
      </w:r>
    </w:p>
    <w:p>
      <w:pPr>
        <w:numPr>
          <w:ilvl w:val="0"/>
          <w:numId w:val="7"/>
        </w:numPr>
        <w:ind w:left="112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21" w:name="_Toc4929"/>
      <w:r>
        <w:rPr>
          <w:rStyle w:val="10"/>
          <w:rFonts w:hint="eastAsia" w:ascii="楷体_GB2312" w:eastAsia="楷体_GB2312"/>
          <w:color w:val="000000" w:themeColor="text1"/>
          <w:sz w:val="28"/>
          <w:szCs w:val="28"/>
          <w14:textFill>
            <w14:solidFill>
              <w14:schemeClr w14:val="tx1"/>
            </w14:solidFill>
          </w14:textFill>
        </w:rPr>
        <w:t>政府采购情况。</w:t>
      </w:r>
      <w:bookmarkEnd w:id="21"/>
    </w:p>
    <w:p>
      <w:pPr>
        <w:numPr>
          <w:ilvl w:val="0"/>
          <w:numId w:val="0"/>
        </w:numPr>
        <w:outlineLvl w:val="9"/>
        <w:rPr>
          <w:rFonts w:hint="eastAsia" w:ascii="仿宋_GB2312" w:eastAsia="仿宋_GB2312"/>
          <w:color w:val="000000" w:themeColor="text1"/>
          <w:sz w:val="28"/>
          <w:szCs w:val="28"/>
          <w:shd w:val="clear" w:color="auto" w:fill="FFFFFF"/>
          <w:lang w:eastAsia="zh-CN"/>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　</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 xml:space="preserve"> </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w:t>
      </w:r>
      <w:r>
        <w:rPr>
          <w:rFonts w:hint="eastAsia" w:ascii="仿宋_GB2312" w:eastAsia="仿宋_GB2312"/>
          <w:color w:val="000000" w:themeColor="text1"/>
          <w:sz w:val="28"/>
          <w:szCs w:val="28"/>
          <w:shd w:val="clear" w:color="auto" w:fill="FFFFFF"/>
          <w:lang w:eastAsia="zh-CN"/>
          <w14:textFill>
            <w14:solidFill>
              <w14:schemeClr w14:val="tx1"/>
            </w14:solidFill>
          </w14:textFill>
        </w:rPr>
        <w:t>未</w:t>
      </w:r>
      <w:r>
        <w:rPr>
          <w:rFonts w:hint="eastAsia" w:ascii="仿宋_GB2312" w:eastAsia="仿宋_GB2312"/>
          <w:color w:val="000000" w:themeColor="text1"/>
          <w:sz w:val="28"/>
          <w:szCs w:val="28"/>
          <w:shd w:val="clear" w:color="auto" w:fill="FFFFFF"/>
          <w14:textFill>
            <w14:solidFill>
              <w14:schemeClr w14:val="tx1"/>
            </w14:solidFill>
          </w14:textFill>
        </w:rPr>
        <w:t>安排政府采购</w:t>
      </w:r>
      <w:r>
        <w:rPr>
          <w:rFonts w:hint="eastAsia" w:ascii="仿宋_GB2312" w:eastAsia="仿宋_GB2312"/>
          <w:color w:val="000000" w:themeColor="text1"/>
          <w:sz w:val="28"/>
          <w:szCs w:val="28"/>
          <w:shd w:val="clear" w:color="auto" w:fill="FFFFFF"/>
          <w:lang w:eastAsia="zh-CN"/>
          <w14:textFill>
            <w14:solidFill>
              <w14:schemeClr w14:val="tx1"/>
            </w14:solidFill>
          </w14:textFill>
        </w:rPr>
        <w:t>的支出。</w:t>
      </w:r>
    </w:p>
    <w:p>
      <w:pPr>
        <w:numPr>
          <w:ilvl w:val="0"/>
          <w:numId w:val="7"/>
        </w:numPr>
        <w:ind w:left="112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22" w:name="_Toc13684"/>
      <w:r>
        <w:rPr>
          <w:rStyle w:val="10"/>
          <w:rFonts w:hint="eastAsia" w:ascii="楷体_GB2312" w:eastAsia="楷体_GB2312"/>
          <w:color w:val="000000" w:themeColor="text1"/>
          <w:sz w:val="28"/>
          <w:szCs w:val="28"/>
          <w14:textFill>
            <w14:solidFill>
              <w14:schemeClr w14:val="tx1"/>
            </w14:solidFill>
          </w14:textFill>
        </w:rPr>
        <w:t>国有资产占有使用情况。</w:t>
      </w:r>
      <w:bookmarkEnd w:id="22"/>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截至</w:t>
      </w:r>
      <w:r>
        <w:rPr>
          <w:rFonts w:hint="eastAsia" w:ascii="仿宋_GB2312" w:eastAsia="仿宋_GB2312"/>
          <w:color w:val="000000" w:themeColor="text1"/>
          <w:sz w:val="28"/>
          <w:szCs w:val="28"/>
          <w:shd w:val="clear" w:color="auto" w:fill="FFFFFF"/>
          <w:lang w:eastAsia="zh-CN"/>
          <w14:textFill>
            <w14:solidFill>
              <w14:schemeClr w14:val="tx1"/>
            </w14:solidFill>
          </w14:textFill>
        </w:rPr>
        <w:t>20</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21</w:t>
      </w:r>
      <w:r>
        <w:rPr>
          <w:rFonts w:hint="eastAsia" w:ascii="仿宋_GB2312" w:eastAsia="仿宋_GB2312"/>
          <w:color w:val="000000" w:themeColor="text1"/>
          <w:sz w:val="28"/>
          <w:szCs w:val="28"/>
          <w:shd w:val="clear" w:color="auto" w:fill="FFFFFF"/>
          <w14:textFill>
            <w14:solidFill>
              <w14:schemeClr w14:val="tx1"/>
            </w14:solidFill>
          </w14:textFill>
        </w:rPr>
        <w:t>年底，所属各预算单位共有车辆</w:t>
      </w:r>
      <w:r>
        <w:rPr>
          <w:rFonts w:hint="eastAsia" w:ascii="仿宋_GB2312" w:eastAsia="仿宋_GB2312"/>
          <w:color w:val="000000" w:themeColor="text1"/>
          <w:sz w:val="28"/>
          <w:szCs w:val="28"/>
          <w:highlight w:val="none"/>
          <w:shd w:val="clear" w:color="auto" w:fill="FFFFFF"/>
          <w:lang w:val="en-US" w:eastAsia="zh-CN"/>
          <w14:textFill>
            <w14:solidFill>
              <w14:schemeClr w14:val="tx1"/>
            </w14:solidFill>
          </w14:textFill>
        </w:rPr>
        <w:t>0</w:t>
      </w:r>
      <w:r>
        <w:rPr>
          <w:rFonts w:hint="eastAsia" w:ascii="仿宋_GB2312" w:eastAsia="仿宋_GB2312"/>
          <w:color w:val="000000" w:themeColor="text1"/>
          <w:sz w:val="28"/>
          <w:szCs w:val="28"/>
          <w:shd w:val="clear" w:color="auto" w:fill="FFFFFF"/>
          <w14:textFill>
            <w14:solidFill>
              <w14:schemeClr w14:val="tx1"/>
            </w14:solidFill>
          </w14:textFill>
        </w:rPr>
        <w:t>辆</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年部门预算未安排购置车辆及单位价值200万元以上大型设备。</w:t>
      </w:r>
    </w:p>
    <w:p>
      <w:pPr>
        <w:numPr>
          <w:ilvl w:val="0"/>
          <w:numId w:val="7"/>
        </w:numPr>
        <w:ind w:left="1120" w:leftChars="0" w:firstLine="0" w:firstLineChars="0"/>
        <w:outlineLvl w:val="1"/>
        <w:rPr>
          <w:rStyle w:val="10"/>
          <w:rFonts w:hint="eastAsia" w:ascii="楷体_GB2312" w:eastAsia="楷体_GB2312"/>
          <w:color w:val="000000" w:themeColor="text1"/>
          <w:sz w:val="28"/>
          <w:szCs w:val="28"/>
          <w14:textFill>
            <w14:solidFill>
              <w14:schemeClr w14:val="tx1"/>
            </w14:solidFill>
          </w14:textFill>
        </w:rPr>
      </w:pPr>
      <w:bookmarkStart w:id="23" w:name="_Toc31681"/>
      <w:r>
        <w:rPr>
          <w:rStyle w:val="10"/>
          <w:rFonts w:hint="eastAsia" w:ascii="楷体_GB2312" w:eastAsia="楷体_GB2312"/>
          <w:color w:val="000000" w:themeColor="text1"/>
          <w:sz w:val="28"/>
          <w:szCs w:val="28"/>
          <w14:textFill>
            <w14:solidFill>
              <w14:schemeClr w14:val="tx1"/>
            </w14:solidFill>
          </w14:textFill>
        </w:rPr>
        <w:t>绩效目标设置情况。</w:t>
      </w:r>
      <w:bookmarkEnd w:id="23"/>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eastAsia" w:ascii="仿宋_GB2312" w:eastAsia="仿宋_GB2312"/>
          <w:color w:val="000000" w:themeColor="text1"/>
          <w:sz w:val="28"/>
          <w:szCs w:val="28"/>
          <w:shd w:val="clear" w:color="auto" w:fill="FFFFFF"/>
          <w14:textFill>
            <w14:solidFill>
              <w14:schemeClr w14:val="tx1"/>
            </w14:solidFill>
          </w14:textFill>
        </w:rPr>
        <w:t>绩效目标是预算编制的前提和基础，按照“费随事定”的原则，</w:t>
      </w:r>
      <w:r>
        <w:rPr>
          <w:rFonts w:hint="eastAsia" w:ascii="仿宋_GB2312" w:eastAsia="仿宋_GB2312"/>
          <w:color w:val="000000" w:themeColor="text1"/>
          <w:sz w:val="28"/>
          <w:szCs w:val="28"/>
          <w:shd w:val="clear" w:color="auto" w:fill="FFFFFF"/>
          <w:lang w:eastAsia="zh-CN"/>
          <w14:textFill>
            <w14:solidFill>
              <w14:schemeClr w14:val="tx1"/>
            </w14:solidFill>
          </w14:textFill>
        </w:rPr>
        <w:t>202</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年</w:t>
      </w:r>
      <w:r>
        <w:rPr>
          <w:rFonts w:ascii="仿宋_GB2312" w:eastAsia="仿宋_GB2312"/>
          <w:color w:val="000000" w:themeColor="text1"/>
          <w:sz w:val="28"/>
          <w:szCs w:val="28"/>
          <w:shd w:val="clear" w:color="auto" w:fill="FFFFFF"/>
          <w14:textFill>
            <w14:solidFill>
              <w14:schemeClr w14:val="tx1"/>
            </w14:solidFill>
          </w14:textFill>
        </w:rPr>
        <w:t>10</w:t>
      </w:r>
      <w:r>
        <w:rPr>
          <w:rFonts w:hint="eastAsia" w:ascii="仿宋_GB2312" w:eastAsia="仿宋_GB2312"/>
          <w:color w:val="000000" w:themeColor="text1"/>
          <w:sz w:val="28"/>
          <w:szCs w:val="28"/>
          <w:shd w:val="clear" w:color="auto" w:fill="FFFFFF"/>
          <w14:textFill>
            <w14:solidFill>
              <w14:schemeClr w14:val="tx1"/>
            </w14:solidFill>
          </w14:textFill>
        </w:rPr>
        <w:t>万元以上专用项目按要求编制了绩效目标,从项目完成、项目效益、满意度等方面设置了绩效指标，综合反映项目预期完成的数量、成本、时效、质量，预期达到的社会效益、经济效益、生态效益、可持续影响以及服务对象满意度等情况。</w:t>
      </w:r>
    </w:p>
    <w:p>
      <w:pPr>
        <w:numPr>
          <w:ilvl w:val="0"/>
          <w:numId w:val="0"/>
        </w:numPr>
        <w:ind w:firstLine="560"/>
        <w:outlineLvl w:val="0"/>
        <w:rPr>
          <w:rFonts w:hint="eastAsia" w:ascii="仿宋_GB2312" w:eastAsia="仿宋_GB2312"/>
          <w:color w:val="000000" w:themeColor="text1"/>
          <w:sz w:val="28"/>
          <w:szCs w:val="28"/>
          <w:shd w:val="clear" w:color="auto" w:fill="FFFFFF"/>
          <w:lang w:val="en-US" w:eastAsia="zh-CN"/>
          <w14:textFill>
            <w14:solidFill>
              <w14:schemeClr w14:val="tx1"/>
            </w14:solidFill>
          </w14:textFill>
        </w:rPr>
      </w:pPr>
      <w:bookmarkStart w:id="24" w:name="_Toc24920"/>
      <w:r>
        <w:rPr>
          <w:rFonts w:hint="eastAsia" w:ascii="仿宋_GB2312" w:eastAsia="仿宋_GB2312"/>
          <w:color w:val="000000" w:themeColor="text1"/>
          <w:sz w:val="28"/>
          <w:szCs w:val="28"/>
          <w:shd w:val="clear" w:color="auto" w:fill="FFFFFF"/>
          <w:lang w:eastAsia="zh-CN"/>
          <w14:textFill>
            <w14:solidFill>
              <w14:schemeClr w14:val="tx1"/>
            </w14:solidFill>
          </w14:textFill>
        </w:rPr>
        <w:t>附件：</w:t>
      </w:r>
      <w:r>
        <w:rPr>
          <w:rFonts w:hint="eastAsia" w:ascii="仿宋_GB2312" w:eastAsia="仿宋_GB2312"/>
          <w:color w:val="000000" w:themeColor="text1"/>
          <w:sz w:val="28"/>
          <w:szCs w:val="28"/>
          <w:shd w:val="clear" w:color="auto" w:fill="FFFFFF"/>
          <w:lang w:val="en-US" w:eastAsia="zh-CN"/>
          <w14:textFill>
            <w14:solidFill>
              <w14:schemeClr w14:val="tx1"/>
            </w14:solidFill>
          </w14:textFill>
        </w:rPr>
        <w:t>2022年部门预算公开报表</w:t>
      </w:r>
      <w:bookmarkEnd w:id="24"/>
    </w:p>
    <w:p>
      <w:pPr>
        <w:numPr>
          <w:ilvl w:val="0"/>
          <w:numId w:val="0"/>
        </w:numPr>
        <w:ind w:left="210" w:leftChars="0"/>
        <w:outlineLvl w:val="0"/>
        <w:rPr>
          <w:rFonts w:hint="eastAsia" w:ascii="黑体" w:hAnsi="黑体" w:eastAsia="黑体"/>
          <w:color w:val="000000" w:themeColor="text1"/>
          <w:sz w:val="28"/>
          <w:szCs w:val="28"/>
          <w:lang w:eastAsia="zh-CN"/>
          <w14:textFill>
            <w14:solidFill>
              <w14:schemeClr w14:val="tx1"/>
            </w14:solidFill>
          </w14:textFill>
        </w:rPr>
      </w:pPr>
      <w:bookmarkStart w:id="25" w:name="_Toc2442"/>
      <w:bookmarkStart w:id="26" w:name="_Toc12260"/>
      <w:r>
        <w:rPr>
          <w:rFonts w:hint="eastAsia" w:ascii="黑体" w:hAnsi="黑体" w:eastAsia="黑体"/>
          <w:color w:val="000000" w:themeColor="text1"/>
          <w:sz w:val="28"/>
          <w:szCs w:val="28"/>
          <w:lang w:eastAsia="zh-CN"/>
          <w14:textFill>
            <w14:solidFill>
              <w14:schemeClr w14:val="tx1"/>
            </w14:solidFill>
          </w14:textFill>
        </w:rPr>
        <w:t>十一、名词解释</w:t>
      </w:r>
      <w:bookmarkEnd w:id="25"/>
      <w:bookmarkEnd w:id="26"/>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1</w:t>
      </w:r>
      <w:r>
        <w:rPr>
          <w:rFonts w:hint="eastAsia" w:ascii="仿宋_GB2312" w:eastAsia="仿宋_GB2312"/>
          <w:color w:val="000000" w:themeColor="text1"/>
          <w:sz w:val="28"/>
          <w:szCs w:val="28"/>
          <w:shd w:val="clear" w:color="auto" w:fill="FFFFFF"/>
          <w14:textFill>
            <w14:solidFill>
              <w14:schemeClr w14:val="tx1"/>
            </w14:solidFill>
          </w14:textFill>
        </w:rPr>
        <w:t>.一般公共预算拨款收入：指省级财政当年拨付的资金。</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2</w:t>
      </w:r>
      <w:r>
        <w:rPr>
          <w:rFonts w:hint="eastAsia" w:ascii="仿宋_GB2312" w:eastAsia="仿宋_GB2312"/>
          <w:color w:val="000000" w:themeColor="text1"/>
          <w:sz w:val="28"/>
          <w:szCs w:val="28"/>
          <w:shd w:val="clear" w:color="auto" w:fill="FFFFFF"/>
          <w14:textFill>
            <w14:solidFill>
              <w14:schemeClr w14:val="tx1"/>
            </w14:solidFill>
          </w14:textFill>
        </w:rPr>
        <w:t>.社会保障和就业（类）其他社会保障和就业（款）其他社会保障和就业支出（项）：指除上述项目外，其他用于行政事业单位离退休方面的支出。</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3</w:t>
      </w:r>
      <w:r>
        <w:rPr>
          <w:rFonts w:hint="eastAsia" w:ascii="仿宋_GB2312" w:eastAsia="仿宋_GB2312"/>
          <w:color w:val="000000" w:themeColor="text1"/>
          <w:sz w:val="28"/>
          <w:szCs w:val="28"/>
          <w:shd w:val="clear" w:color="auto" w:fill="FFFFFF"/>
          <w14:textFill>
            <w14:solidFill>
              <w14:schemeClr w14:val="tx1"/>
            </w14:solidFill>
          </w14:textFill>
        </w:rPr>
        <w:t>.医疗卫生与计划生育（类）行政事业单位医疗（款）事业单位医疗（项）：指事业单位用于缴纳单位基本医疗保险支出。</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4</w:t>
      </w:r>
      <w:r>
        <w:rPr>
          <w:rFonts w:hint="eastAsia" w:ascii="仿宋_GB2312" w:eastAsia="仿宋_GB2312"/>
          <w:color w:val="000000" w:themeColor="text1"/>
          <w:sz w:val="28"/>
          <w:szCs w:val="28"/>
          <w:shd w:val="clear" w:color="auto" w:fill="FFFFFF"/>
          <w14:textFill>
            <w14:solidFill>
              <w14:schemeClr w14:val="tx1"/>
            </w14:solidFill>
          </w14:textFill>
        </w:rPr>
        <w:t>.住房保障（类）住房改革支出（款）住房公积金（项）：指按照《住房公积金管理条例》的规定，由单位及其在职职工缴存的长期住房储金。</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5</w:t>
      </w:r>
      <w:r>
        <w:rPr>
          <w:rFonts w:hint="eastAsia" w:ascii="仿宋_GB2312" w:eastAsia="仿宋_GB2312"/>
          <w:color w:val="000000" w:themeColor="text1"/>
          <w:sz w:val="28"/>
          <w:szCs w:val="28"/>
          <w:shd w:val="clear" w:color="auto" w:fill="FFFFFF"/>
          <w14:textFill>
            <w14:solidFill>
              <w14:schemeClr w14:val="tx1"/>
            </w14:solidFill>
          </w14:textFill>
        </w:rPr>
        <w:t>.基本支出：指为保证机构正常运转，完成日常工作任务而发生的人员支出和公用支出。</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6</w:t>
      </w:r>
      <w:r>
        <w:rPr>
          <w:rFonts w:hint="eastAsia" w:ascii="仿宋_GB2312" w:eastAsia="仿宋_GB2312"/>
          <w:color w:val="000000" w:themeColor="text1"/>
          <w:sz w:val="28"/>
          <w:szCs w:val="28"/>
          <w:shd w:val="clear" w:color="auto" w:fill="FFFFFF"/>
          <w14:textFill>
            <w14:solidFill>
              <w14:schemeClr w14:val="tx1"/>
            </w14:solidFill>
          </w14:textFill>
        </w:rPr>
        <w:t>.“三公”经费：纳入预决算管理的“三公”经费，是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r>
        <w:rPr>
          <w:rFonts w:hint="default" w:ascii="仿宋_GB2312" w:eastAsia="仿宋_GB2312"/>
          <w:color w:val="000000" w:themeColor="text1"/>
          <w:sz w:val="28"/>
          <w:szCs w:val="28"/>
          <w:shd w:val="clear" w:color="auto" w:fill="FFFFFF"/>
          <w14:textFill>
            <w14:solidFill>
              <w14:schemeClr w14:val="tx1"/>
            </w14:solidFill>
          </w14:textFill>
        </w:rPr>
        <w:t>7</w:t>
      </w:r>
      <w:r>
        <w:rPr>
          <w:rFonts w:hint="eastAsia" w:ascii="仿宋_GB2312" w:eastAsia="仿宋_GB2312"/>
          <w:color w:val="000000" w:themeColor="text1"/>
          <w:sz w:val="28"/>
          <w:szCs w:val="28"/>
          <w:shd w:val="clear" w:color="auto" w:fill="FFFFFF"/>
          <w14:textFill>
            <w14:solidFill>
              <w14:schemeClr w14:val="tx1"/>
            </w14:solidFill>
          </w14:textFill>
        </w:rPr>
        <w:t>.机关运行经费：为保障行政单位（包含参照公务员法管理的事业单位）运行用于购买货物和服务的各项资金。包括办公及办公费、水费、电费、印刷费、邮电费、差旅费、会议费等费用开支。</w:t>
      </w: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p>
    <w:p>
      <w:pPr>
        <w:numPr>
          <w:ilvl w:val="0"/>
          <w:numId w:val="0"/>
        </w:numPr>
        <w:ind w:firstLine="560"/>
        <w:outlineLvl w:val="9"/>
        <w:rPr>
          <w:rFonts w:hint="default" w:ascii="仿宋_GB2312" w:eastAsia="仿宋_GB2312"/>
          <w:color w:val="000000" w:themeColor="text1"/>
          <w:sz w:val="28"/>
          <w:szCs w:val="28"/>
          <w:shd w:val="clear" w:color="auto" w:fill="FFFFFF"/>
          <w:lang w:val="en-US" w:eastAsia="zh-CN"/>
          <w14:textFill>
            <w14:solidFill>
              <w14:schemeClr w14:val="tx1"/>
            </w14:solidFill>
          </w14:textFill>
        </w:rPr>
      </w:pPr>
    </w:p>
    <w:p>
      <w:pPr>
        <w:numPr>
          <w:ilvl w:val="0"/>
          <w:numId w:val="0"/>
        </w:numPr>
        <w:ind w:firstLine="560"/>
        <w:outlineLvl w:val="9"/>
        <w:rPr>
          <w:rFonts w:hint="eastAsia" w:ascii="仿宋_GB2312" w:eastAsia="仿宋_GB2312"/>
          <w:color w:val="000000" w:themeColor="text1"/>
          <w:sz w:val="28"/>
          <w:szCs w:val="28"/>
          <w:shd w:val="clear" w:color="auto" w:fill="FFFFFF"/>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7A2FD"/>
    <w:multiLevelType w:val="singleLevel"/>
    <w:tmpl w:val="9147A2FD"/>
    <w:lvl w:ilvl="0" w:tentative="0">
      <w:start w:val="2"/>
      <w:numFmt w:val="chineseCounting"/>
      <w:suff w:val="nothing"/>
      <w:lvlText w:val="%1、"/>
      <w:lvlJc w:val="left"/>
      <w:rPr>
        <w:rFonts w:hint="eastAsia"/>
      </w:rPr>
    </w:lvl>
  </w:abstractNum>
  <w:abstractNum w:abstractNumId="1">
    <w:nsid w:val="B0412A54"/>
    <w:multiLevelType w:val="singleLevel"/>
    <w:tmpl w:val="B0412A54"/>
    <w:lvl w:ilvl="0" w:tentative="0">
      <w:start w:val="1"/>
      <w:numFmt w:val="chineseCounting"/>
      <w:suff w:val="nothing"/>
      <w:lvlText w:val="（%1）"/>
      <w:lvlJc w:val="left"/>
      <w:pPr>
        <w:ind w:left="1120" w:leftChars="0" w:firstLine="0" w:firstLineChars="0"/>
      </w:pPr>
      <w:rPr>
        <w:rFonts w:hint="eastAsia"/>
      </w:rPr>
    </w:lvl>
  </w:abstractNum>
  <w:abstractNum w:abstractNumId="2">
    <w:nsid w:val="06D8EBD0"/>
    <w:multiLevelType w:val="singleLevel"/>
    <w:tmpl w:val="06D8EBD0"/>
    <w:lvl w:ilvl="0" w:tentative="0">
      <w:start w:val="1"/>
      <w:numFmt w:val="chineseCounting"/>
      <w:suff w:val="nothing"/>
      <w:lvlText w:val="（%1）"/>
      <w:lvlJc w:val="left"/>
      <w:pPr>
        <w:ind w:left="1128" w:leftChars="0" w:firstLine="0" w:firstLineChars="0"/>
      </w:pPr>
      <w:rPr>
        <w:rFonts w:hint="eastAsia"/>
      </w:rPr>
    </w:lvl>
  </w:abstractNum>
  <w:abstractNum w:abstractNumId="3">
    <w:nsid w:val="0BA0A598"/>
    <w:multiLevelType w:val="singleLevel"/>
    <w:tmpl w:val="0BA0A598"/>
    <w:lvl w:ilvl="0" w:tentative="0">
      <w:start w:val="1"/>
      <w:numFmt w:val="chineseCounting"/>
      <w:suff w:val="nothing"/>
      <w:lvlText w:val="（%1）"/>
      <w:lvlJc w:val="left"/>
      <w:pPr>
        <w:ind w:left="1120" w:leftChars="0" w:firstLine="0" w:firstLineChars="0"/>
      </w:pPr>
      <w:rPr>
        <w:rFonts w:hint="eastAsia"/>
      </w:rPr>
    </w:lvl>
  </w:abstractNum>
  <w:abstractNum w:abstractNumId="4">
    <w:nsid w:val="118F6E10"/>
    <w:multiLevelType w:val="singleLevel"/>
    <w:tmpl w:val="118F6E10"/>
    <w:lvl w:ilvl="0" w:tentative="0">
      <w:start w:val="3"/>
      <w:numFmt w:val="chineseCounting"/>
      <w:suff w:val="nothing"/>
      <w:lvlText w:val="%1、"/>
      <w:lvlJc w:val="left"/>
      <w:rPr>
        <w:rFonts w:hint="eastAsia"/>
      </w:rPr>
    </w:lvl>
  </w:abstractNum>
  <w:abstractNum w:abstractNumId="5">
    <w:nsid w:val="51D4A932"/>
    <w:multiLevelType w:val="singleLevel"/>
    <w:tmpl w:val="51D4A932"/>
    <w:lvl w:ilvl="0" w:tentative="0">
      <w:start w:val="8"/>
      <w:numFmt w:val="chineseCounting"/>
      <w:suff w:val="nothing"/>
      <w:lvlText w:val="%1、"/>
      <w:lvlJc w:val="left"/>
      <w:pPr>
        <w:ind w:left="-350"/>
      </w:pPr>
      <w:rPr>
        <w:rFonts w:hint="eastAsia"/>
      </w:rPr>
    </w:lvl>
  </w:abstractNum>
  <w:abstractNum w:abstractNumId="6">
    <w:nsid w:val="6E6E8BE0"/>
    <w:multiLevelType w:val="singleLevel"/>
    <w:tmpl w:val="6E6E8BE0"/>
    <w:lvl w:ilvl="0" w:tentative="0">
      <w:start w:val="1"/>
      <w:numFmt w:val="chineseCounting"/>
      <w:suff w:val="nothing"/>
      <w:lvlText w:val="（%1）"/>
      <w:lvlJc w:val="left"/>
      <w:pPr>
        <w:ind w:left="560" w:leftChars="0" w:firstLine="0" w:firstLineChars="0"/>
      </w:pPr>
      <w:rPr>
        <w:rFonts w:hint="eastAsia"/>
      </w:r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2NDM0ZDY1MWM4OWJkNjI0NjY4YjZkMjZkZjFhNzIifQ=="/>
  </w:docVars>
  <w:rsids>
    <w:rsidRoot w:val="09954A55"/>
    <w:rsid w:val="002A691F"/>
    <w:rsid w:val="00AA1227"/>
    <w:rsid w:val="00AF2386"/>
    <w:rsid w:val="010818FA"/>
    <w:rsid w:val="010A4F06"/>
    <w:rsid w:val="01346AA4"/>
    <w:rsid w:val="0140335A"/>
    <w:rsid w:val="0140720F"/>
    <w:rsid w:val="01621427"/>
    <w:rsid w:val="01FC5B90"/>
    <w:rsid w:val="02351310"/>
    <w:rsid w:val="023C0ED5"/>
    <w:rsid w:val="02C9099C"/>
    <w:rsid w:val="02F33252"/>
    <w:rsid w:val="02FC1F35"/>
    <w:rsid w:val="03000368"/>
    <w:rsid w:val="032B3DA6"/>
    <w:rsid w:val="0368611C"/>
    <w:rsid w:val="03765C7A"/>
    <w:rsid w:val="03EF07CF"/>
    <w:rsid w:val="05546F2C"/>
    <w:rsid w:val="059B7328"/>
    <w:rsid w:val="06C003AB"/>
    <w:rsid w:val="078221B3"/>
    <w:rsid w:val="07A56B57"/>
    <w:rsid w:val="07D0294C"/>
    <w:rsid w:val="07F13B99"/>
    <w:rsid w:val="07F23A28"/>
    <w:rsid w:val="085028E9"/>
    <w:rsid w:val="087961C4"/>
    <w:rsid w:val="09090730"/>
    <w:rsid w:val="09432B56"/>
    <w:rsid w:val="09954A55"/>
    <w:rsid w:val="09EA4CA4"/>
    <w:rsid w:val="0A2C19C1"/>
    <w:rsid w:val="0A5C74CC"/>
    <w:rsid w:val="0A7910E7"/>
    <w:rsid w:val="0BFB4534"/>
    <w:rsid w:val="0C563168"/>
    <w:rsid w:val="0C7A0CD2"/>
    <w:rsid w:val="0D286975"/>
    <w:rsid w:val="0D626639"/>
    <w:rsid w:val="0D6F32CA"/>
    <w:rsid w:val="0D89481C"/>
    <w:rsid w:val="0DBA21A5"/>
    <w:rsid w:val="0E014CF6"/>
    <w:rsid w:val="0E0A3270"/>
    <w:rsid w:val="0E211C5C"/>
    <w:rsid w:val="0E87452C"/>
    <w:rsid w:val="0F25766A"/>
    <w:rsid w:val="0F2763A4"/>
    <w:rsid w:val="0FE63AF4"/>
    <w:rsid w:val="10B32FC7"/>
    <w:rsid w:val="10BE3142"/>
    <w:rsid w:val="11214F92"/>
    <w:rsid w:val="11E3540B"/>
    <w:rsid w:val="11E659FD"/>
    <w:rsid w:val="129F1293"/>
    <w:rsid w:val="13741978"/>
    <w:rsid w:val="138225E6"/>
    <w:rsid w:val="14D57C55"/>
    <w:rsid w:val="14EB668D"/>
    <w:rsid w:val="159121E1"/>
    <w:rsid w:val="15B2092E"/>
    <w:rsid w:val="16B27ADD"/>
    <w:rsid w:val="17282910"/>
    <w:rsid w:val="178B305E"/>
    <w:rsid w:val="17AD70C2"/>
    <w:rsid w:val="17DA78E7"/>
    <w:rsid w:val="17E745CA"/>
    <w:rsid w:val="17F4622F"/>
    <w:rsid w:val="1860678D"/>
    <w:rsid w:val="18680074"/>
    <w:rsid w:val="189230E0"/>
    <w:rsid w:val="18A47062"/>
    <w:rsid w:val="194D5F42"/>
    <w:rsid w:val="19610AF1"/>
    <w:rsid w:val="198359EB"/>
    <w:rsid w:val="19AD5151"/>
    <w:rsid w:val="19D07ED5"/>
    <w:rsid w:val="19F54FF2"/>
    <w:rsid w:val="1A0163C2"/>
    <w:rsid w:val="1A833500"/>
    <w:rsid w:val="1AA50339"/>
    <w:rsid w:val="1B1D5981"/>
    <w:rsid w:val="1B3E6C9E"/>
    <w:rsid w:val="1B5A62CE"/>
    <w:rsid w:val="1BED6BF5"/>
    <w:rsid w:val="1C0042BF"/>
    <w:rsid w:val="1C817B9F"/>
    <w:rsid w:val="1CDC1A23"/>
    <w:rsid w:val="1CFF59CA"/>
    <w:rsid w:val="1D212F4E"/>
    <w:rsid w:val="1D8B5A3E"/>
    <w:rsid w:val="1DA8682F"/>
    <w:rsid w:val="1E177D23"/>
    <w:rsid w:val="1E9E326E"/>
    <w:rsid w:val="1EA818BC"/>
    <w:rsid w:val="1F705256"/>
    <w:rsid w:val="1FA52562"/>
    <w:rsid w:val="20190C9D"/>
    <w:rsid w:val="204365BD"/>
    <w:rsid w:val="206D6DD8"/>
    <w:rsid w:val="208B228C"/>
    <w:rsid w:val="20962D9E"/>
    <w:rsid w:val="235F2367"/>
    <w:rsid w:val="237044FA"/>
    <w:rsid w:val="23F1212B"/>
    <w:rsid w:val="23FC29E1"/>
    <w:rsid w:val="240257CC"/>
    <w:rsid w:val="240A7FB3"/>
    <w:rsid w:val="247730CD"/>
    <w:rsid w:val="249E44D0"/>
    <w:rsid w:val="24D10B61"/>
    <w:rsid w:val="25182162"/>
    <w:rsid w:val="264971C0"/>
    <w:rsid w:val="268D6CD6"/>
    <w:rsid w:val="26B827C5"/>
    <w:rsid w:val="26BF4B16"/>
    <w:rsid w:val="26C33C01"/>
    <w:rsid w:val="26CC68A2"/>
    <w:rsid w:val="26D979BB"/>
    <w:rsid w:val="273016AF"/>
    <w:rsid w:val="274742FD"/>
    <w:rsid w:val="274C7BAC"/>
    <w:rsid w:val="27961A64"/>
    <w:rsid w:val="27A4165F"/>
    <w:rsid w:val="27C428AC"/>
    <w:rsid w:val="27C73D44"/>
    <w:rsid w:val="27DC0B02"/>
    <w:rsid w:val="280E158A"/>
    <w:rsid w:val="288852F0"/>
    <w:rsid w:val="292D5813"/>
    <w:rsid w:val="2A202CD6"/>
    <w:rsid w:val="2AA70F66"/>
    <w:rsid w:val="2AB877D7"/>
    <w:rsid w:val="2B697452"/>
    <w:rsid w:val="2BAD4352"/>
    <w:rsid w:val="2C0A687D"/>
    <w:rsid w:val="2C1F605F"/>
    <w:rsid w:val="2C311D54"/>
    <w:rsid w:val="2C324ED6"/>
    <w:rsid w:val="2C3771C8"/>
    <w:rsid w:val="2C5076D5"/>
    <w:rsid w:val="2CD2439E"/>
    <w:rsid w:val="2D870D8D"/>
    <w:rsid w:val="2DC91CA2"/>
    <w:rsid w:val="2E6C5026"/>
    <w:rsid w:val="2E7C5B0F"/>
    <w:rsid w:val="2EBB28C3"/>
    <w:rsid w:val="2ECB402C"/>
    <w:rsid w:val="2EFC1CFC"/>
    <w:rsid w:val="2F261824"/>
    <w:rsid w:val="2F9C554F"/>
    <w:rsid w:val="2FA03294"/>
    <w:rsid w:val="2FB35BC9"/>
    <w:rsid w:val="302C3A3F"/>
    <w:rsid w:val="304C44DC"/>
    <w:rsid w:val="3056293F"/>
    <w:rsid w:val="317C4721"/>
    <w:rsid w:val="31BB2E57"/>
    <w:rsid w:val="31E16EDF"/>
    <w:rsid w:val="323E5140"/>
    <w:rsid w:val="3289185D"/>
    <w:rsid w:val="33147692"/>
    <w:rsid w:val="33AB793A"/>
    <w:rsid w:val="34060E28"/>
    <w:rsid w:val="341E1190"/>
    <w:rsid w:val="34AE6000"/>
    <w:rsid w:val="3517135A"/>
    <w:rsid w:val="358C69CC"/>
    <w:rsid w:val="361243AD"/>
    <w:rsid w:val="36264E0C"/>
    <w:rsid w:val="36B62BCC"/>
    <w:rsid w:val="36ED1FFE"/>
    <w:rsid w:val="372E605B"/>
    <w:rsid w:val="375C0BAD"/>
    <w:rsid w:val="377C43B6"/>
    <w:rsid w:val="37C91B8E"/>
    <w:rsid w:val="37DE7F7D"/>
    <w:rsid w:val="384315E7"/>
    <w:rsid w:val="3869195A"/>
    <w:rsid w:val="38E271DC"/>
    <w:rsid w:val="390D3408"/>
    <w:rsid w:val="394A50D2"/>
    <w:rsid w:val="396245D6"/>
    <w:rsid w:val="39651F8A"/>
    <w:rsid w:val="3A0D6754"/>
    <w:rsid w:val="3A8B1805"/>
    <w:rsid w:val="3B304667"/>
    <w:rsid w:val="3B483563"/>
    <w:rsid w:val="3B4C7AB4"/>
    <w:rsid w:val="3CB81009"/>
    <w:rsid w:val="3D826CB8"/>
    <w:rsid w:val="3DE73F49"/>
    <w:rsid w:val="3DEE2F2C"/>
    <w:rsid w:val="3E190610"/>
    <w:rsid w:val="3E8F0AF0"/>
    <w:rsid w:val="3F1910BD"/>
    <w:rsid w:val="3F793003"/>
    <w:rsid w:val="3FED2BA8"/>
    <w:rsid w:val="40BF5BD0"/>
    <w:rsid w:val="40EA080F"/>
    <w:rsid w:val="41035401"/>
    <w:rsid w:val="41267A38"/>
    <w:rsid w:val="415A6699"/>
    <w:rsid w:val="41EE700E"/>
    <w:rsid w:val="42A33D77"/>
    <w:rsid w:val="43115784"/>
    <w:rsid w:val="43255FF0"/>
    <w:rsid w:val="43FF4929"/>
    <w:rsid w:val="44737E25"/>
    <w:rsid w:val="44C810F1"/>
    <w:rsid w:val="462935A4"/>
    <w:rsid w:val="466C3DCB"/>
    <w:rsid w:val="46BB7F99"/>
    <w:rsid w:val="477C7D55"/>
    <w:rsid w:val="484C08CC"/>
    <w:rsid w:val="485F0D2C"/>
    <w:rsid w:val="4891110D"/>
    <w:rsid w:val="49465A55"/>
    <w:rsid w:val="49523AC4"/>
    <w:rsid w:val="49743110"/>
    <w:rsid w:val="4AD1143C"/>
    <w:rsid w:val="4BBF1C72"/>
    <w:rsid w:val="4BDC03E1"/>
    <w:rsid w:val="4BE77C1E"/>
    <w:rsid w:val="4C62129B"/>
    <w:rsid w:val="4C723549"/>
    <w:rsid w:val="4CA769F1"/>
    <w:rsid w:val="4CBB05E3"/>
    <w:rsid w:val="4DA270B3"/>
    <w:rsid w:val="4DA701F0"/>
    <w:rsid w:val="4E3D7F16"/>
    <w:rsid w:val="4ED55416"/>
    <w:rsid w:val="4F740109"/>
    <w:rsid w:val="4FD04F63"/>
    <w:rsid w:val="500D607D"/>
    <w:rsid w:val="5015042A"/>
    <w:rsid w:val="50661F5D"/>
    <w:rsid w:val="50DE77E5"/>
    <w:rsid w:val="510857A7"/>
    <w:rsid w:val="51172D7F"/>
    <w:rsid w:val="517A749E"/>
    <w:rsid w:val="528B4B2A"/>
    <w:rsid w:val="52E06B71"/>
    <w:rsid w:val="5354086F"/>
    <w:rsid w:val="535C1E5A"/>
    <w:rsid w:val="53727169"/>
    <w:rsid w:val="53760151"/>
    <w:rsid w:val="53C0034E"/>
    <w:rsid w:val="53D25A96"/>
    <w:rsid w:val="53FA19CE"/>
    <w:rsid w:val="53FB7345"/>
    <w:rsid w:val="54272B41"/>
    <w:rsid w:val="550C69CD"/>
    <w:rsid w:val="5593319A"/>
    <w:rsid w:val="55E76EE8"/>
    <w:rsid w:val="57872B7B"/>
    <w:rsid w:val="579F7543"/>
    <w:rsid w:val="58350A00"/>
    <w:rsid w:val="584F7B19"/>
    <w:rsid w:val="589D31E0"/>
    <w:rsid w:val="592A6814"/>
    <w:rsid w:val="5A0B1456"/>
    <w:rsid w:val="5A2C5706"/>
    <w:rsid w:val="5A502C0A"/>
    <w:rsid w:val="5A7C64C1"/>
    <w:rsid w:val="5A872220"/>
    <w:rsid w:val="5A8F2056"/>
    <w:rsid w:val="5AC300D2"/>
    <w:rsid w:val="5B2F1A9F"/>
    <w:rsid w:val="5B97611C"/>
    <w:rsid w:val="5BD75BD7"/>
    <w:rsid w:val="5D027785"/>
    <w:rsid w:val="5D5329E0"/>
    <w:rsid w:val="5DCD135D"/>
    <w:rsid w:val="5E49372D"/>
    <w:rsid w:val="5F567E54"/>
    <w:rsid w:val="5F7A74E7"/>
    <w:rsid w:val="5F854326"/>
    <w:rsid w:val="5FBF4576"/>
    <w:rsid w:val="603C5877"/>
    <w:rsid w:val="60470247"/>
    <w:rsid w:val="60E811D1"/>
    <w:rsid w:val="61945BE2"/>
    <w:rsid w:val="61DB1A81"/>
    <w:rsid w:val="61EB4D2C"/>
    <w:rsid w:val="623B1B80"/>
    <w:rsid w:val="625C0F1C"/>
    <w:rsid w:val="62884351"/>
    <w:rsid w:val="6290553A"/>
    <w:rsid w:val="62B51BA6"/>
    <w:rsid w:val="62FB54AE"/>
    <w:rsid w:val="63340109"/>
    <w:rsid w:val="63415D15"/>
    <w:rsid w:val="634C6FDC"/>
    <w:rsid w:val="637B5CFE"/>
    <w:rsid w:val="638657C7"/>
    <w:rsid w:val="63C30BAF"/>
    <w:rsid w:val="63FD5A04"/>
    <w:rsid w:val="64283362"/>
    <w:rsid w:val="64952C23"/>
    <w:rsid w:val="654B65D5"/>
    <w:rsid w:val="655C34B6"/>
    <w:rsid w:val="65831489"/>
    <w:rsid w:val="65C16A3C"/>
    <w:rsid w:val="676D214D"/>
    <w:rsid w:val="67902455"/>
    <w:rsid w:val="68034DD2"/>
    <w:rsid w:val="68C04E2F"/>
    <w:rsid w:val="690762B4"/>
    <w:rsid w:val="692750F0"/>
    <w:rsid w:val="696845BD"/>
    <w:rsid w:val="69E644E3"/>
    <w:rsid w:val="69EA748B"/>
    <w:rsid w:val="69EC3F97"/>
    <w:rsid w:val="69F77068"/>
    <w:rsid w:val="6A7B21D2"/>
    <w:rsid w:val="6AC01472"/>
    <w:rsid w:val="6B0857BB"/>
    <w:rsid w:val="6B5C38DA"/>
    <w:rsid w:val="6B6776FC"/>
    <w:rsid w:val="6C222D1F"/>
    <w:rsid w:val="6C7F30A1"/>
    <w:rsid w:val="6D5B4259"/>
    <w:rsid w:val="6D651F8A"/>
    <w:rsid w:val="6D9B11C1"/>
    <w:rsid w:val="6DCB4754"/>
    <w:rsid w:val="6E100FF5"/>
    <w:rsid w:val="6E88520B"/>
    <w:rsid w:val="6E8E3845"/>
    <w:rsid w:val="6ECA12AF"/>
    <w:rsid w:val="6EEF28A3"/>
    <w:rsid w:val="6F314167"/>
    <w:rsid w:val="6F6D05F7"/>
    <w:rsid w:val="6F9840B8"/>
    <w:rsid w:val="6FA96B24"/>
    <w:rsid w:val="70C76A74"/>
    <w:rsid w:val="70D40F63"/>
    <w:rsid w:val="71230FCF"/>
    <w:rsid w:val="7168027C"/>
    <w:rsid w:val="718E7FBF"/>
    <w:rsid w:val="72073AFE"/>
    <w:rsid w:val="72574976"/>
    <w:rsid w:val="72836360"/>
    <w:rsid w:val="729C6E11"/>
    <w:rsid w:val="729F3BF2"/>
    <w:rsid w:val="72A91D20"/>
    <w:rsid w:val="72E321CA"/>
    <w:rsid w:val="72E46404"/>
    <w:rsid w:val="73F43F49"/>
    <w:rsid w:val="747D0C3A"/>
    <w:rsid w:val="74922B3E"/>
    <w:rsid w:val="75513D37"/>
    <w:rsid w:val="75A26193"/>
    <w:rsid w:val="75BC6D5A"/>
    <w:rsid w:val="75DC182C"/>
    <w:rsid w:val="762E5BC3"/>
    <w:rsid w:val="76E11FC9"/>
    <w:rsid w:val="77470E35"/>
    <w:rsid w:val="77AD5373"/>
    <w:rsid w:val="77BC5473"/>
    <w:rsid w:val="780F4A29"/>
    <w:rsid w:val="78341E1B"/>
    <w:rsid w:val="78397D31"/>
    <w:rsid w:val="78F74085"/>
    <w:rsid w:val="790402AA"/>
    <w:rsid w:val="7A200E99"/>
    <w:rsid w:val="7A8719BF"/>
    <w:rsid w:val="7ABE591F"/>
    <w:rsid w:val="7ABF43E6"/>
    <w:rsid w:val="7AE732EA"/>
    <w:rsid w:val="7AED5B48"/>
    <w:rsid w:val="7B4056A0"/>
    <w:rsid w:val="7BD310C1"/>
    <w:rsid w:val="7BE323CC"/>
    <w:rsid w:val="7BFC73BE"/>
    <w:rsid w:val="7C0909D4"/>
    <w:rsid w:val="7CBE347E"/>
    <w:rsid w:val="7CFE56FF"/>
    <w:rsid w:val="7D390E04"/>
    <w:rsid w:val="7D714660"/>
    <w:rsid w:val="7DA0175D"/>
    <w:rsid w:val="7DCE72E2"/>
    <w:rsid w:val="7DD35262"/>
    <w:rsid w:val="7E1726DD"/>
    <w:rsid w:val="7EC07E3D"/>
    <w:rsid w:val="7F4040C4"/>
    <w:rsid w:val="7F66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4">
    <w:name w:val="annotation text"/>
    <w:basedOn w:val="1"/>
    <w:qFormat/>
    <w:uiPriority w:val="0"/>
    <w:pPr>
      <w:jc w:val="left"/>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10">
    <w:name w:val="Strong"/>
    <w:basedOn w:val="9"/>
    <w:qFormat/>
    <w:uiPriority w:val="22"/>
    <w:rPr>
      <w:b/>
      <w:bCs/>
    </w:rPr>
  </w:style>
  <w:style w:type="character" w:styleId="11">
    <w:name w:val="Hyperlink"/>
    <w:basedOn w:val="9"/>
    <w:qFormat/>
    <w:uiPriority w:val="0"/>
    <w:rPr>
      <w:color w:val="333333"/>
      <w:sz w:val="16"/>
      <w:szCs w:val="16"/>
      <w:u w:val="none"/>
    </w:rPr>
  </w:style>
  <w:style w:type="paragraph" w:customStyle="1" w:styleId="12">
    <w:name w:val="WPSOffice手动目录 1"/>
    <w:qFormat/>
    <w:uiPriority w:val="0"/>
    <w:pPr>
      <w:ind w:leftChars="0"/>
    </w:pPr>
    <w:rPr>
      <w:rFonts w:ascii="Calibri" w:hAnsi="Calibri" w:eastAsia="宋体" w:cs="Times New Roman"/>
      <w:sz w:val="20"/>
      <w:szCs w:val="20"/>
    </w:rPr>
  </w:style>
  <w:style w:type="paragraph" w:customStyle="1" w:styleId="13">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8006</Words>
  <Characters>8354</Characters>
  <Lines>0</Lines>
  <Paragraphs>0</Paragraphs>
  <TotalTime>40</TotalTime>
  <ScaleCrop>false</ScaleCrop>
  <LinksUpToDate>false</LinksUpToDate>
  <CharactersWithSpaces>8493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2019-06-06T01:45:00Z</dcterms:created>
  <dc:creator>Lenovo</dc:creator>
  <cp:lastModifiedBy>.</cp:lastModifiedBy>
  <cp:lastPrinted>2021-07-28T01:51:00Z</cp:lastPrinted>
  <dcterms:modified xsi:type="dcterms:W3CDTF">2022-09-06T00:48:27Z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1E13EE01CDA84DC0A0F172ED5262746F</vt:lpwstr>
  </property>
</Properties>
</file>