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40"/>
        <w:jc w:val="center"/>
        <w:rPr>
          <w:rFonts w:ascii="Times New Roman" w:hAnsi="Times New Roman" w:eastAsia="方正小标宋简体" w:cs="Times New Roman"/>
          <w:b w:val="false"/>
          <w:spacing w:val="-10"/>
          <w:w w:val="100"/>
          <w:sz w:val="44"/>
          <w:szCs w:val="44"/>
        </w:rPr>
      </w:pPr>
      <w:r>
        <w:rPr>
          <w:rFonts w:ascii="Times New Roman" w:hAnsi="Times New Roman" w:cs="Times New Roman" w:eastAsia="方正小标宋简体"/>
          <w:b w:val="false"/>
          <w:spacing w:val="-10"/>
          <w:w w:val="100"/>
          <w:sz w:val="44"/>
          <w:szCs w:val="44"/>
          <w:lang w:eastAsia="zh-CN"/>
        </w:rPr>
        <w:t>南江县</w:t>
      </w:r>
      <w:r>
        <w:rPr>
          <w:rFonts w:ascii="Times New Roman" w:hAnsi="Times New Roman" w:cs="Times New Roman" w:eastAsia="方正小标宋简体"/>
          <w:b w:val="false"/>
          <w:spacing w:val="-10"/>
          <w:w w:val="100"/>
          <w:sz w:val="44"/>
          <w:szCs w:val="44"/>
        </w:rPr>
        <w:t>用人单位重大劳动保障违法行为社会公布表</w:t>
      </w:r>
    </w:p>
    <w:p>
      <w:pPr>
        <w:pStyle w:val="Normal"/>
        <w:spacing w:lineRule="exact" w:line="400"/>
        <w:rPr>
          <w:rFonts w:ascii="Times New Roman" w:hAnsi="Times New Roman" w:eastAsia="楷体_GB2312;楷体" w:cs="Times New Roman"/>
          <w:b w:val="false"/>
          <w:bCs/>
          <w:spacing w:val="-10"/>
          <w:w w:val="100"/>
          <w:sz w:val="28"/>
          <w:szCs w:val="28"/>
        </w:rPr>
      </w:pPr>
      <w:r>
        <w:rPr>
          <w:rFonts w:eastAsia="楷体_GB2312;楷体" w:cs="Times New Roman"/>
          <w:b w:val="false"/>
          <w:bCs/>
          <w:spacing w:val="-10"/>
          <w:w w:val="100"/>
          <w:sz w:val="28"/>
          <w:szCs w:val="28"/>
        </w:rPr>
      </w:r>
    </w:p>
    <w:p>
      <w:pPr>
        <w:pStyle w:val="Normal"/>
        <w:spacing w:lineRule="exact" w:line="400"/>
        <w:ind w:firstLine="640" w:end="0"/>
        <w:rPr>
          <w:rFonts w:ascii="Times New Roman" w:hAnsi="Times New Roman" w:eastAsia="楷体_GB2312;楷体" w:cs="Times New Roman"/>
          <w:b w:val="false"/>
          <w:bCs/>
          <w:w w:val="100"/>
          <w:sz w:val="28"/>
          <w:szCs w:val="28"/>
        </w:rPr>
      </w:pP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</w:rPr>
        <w:t xml:space="preserve">公布单位： </w:t>
      </w: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  <w:lang w:eastAsia="zh-CN"/>
        </w:rPr>
        <w:t>南江县人力资源和社会保障局</w:t>
      </w: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</w:rPr>
        <w:t xml:space="preserve">                                         公布时间：</w:t>
      </w:r>
      <w:r>
        <w:rPr>
          <w:rFonts w:eastAsia="楷体_GB2312;楷体" w:cs="Times New Roman"/>
          <w:b w:val="false"/>
          <w:bCs/>
          <w:w w:val="100"/>
          <w:sz w:val="28"/>
          <w:szCs w:val="28"/>
          <w:lang w:val="en-US" w:eastAsia="zh-CN"/>
        </w:rPr>
        <w:t>2021</w:t>
      </w: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  <w:lang w:val="en-US" w:eastAsia="zh-CN"/>
        </w:rPr>
        <w:t>年</w:t>
      </w:r>
      <w:r>
        <w:rPr>
          <w:rFonts w:eastAsia="楷体_GB2312;楷体" w:cs="Times New Roman"/>
          <w:b w:val="false"/>
          <w:bCs/>
          <w:w w:val="100"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  <w:lang w:val="en-US" w:eastAsia="zh-CN"/>
        </w:rPr>
        <w:t>月</w:t>
      </w:r>
      <w:r>
        <w:rPr>
          <w:rFonts w:eastAsia="楷体_GB2312;楷体" w:cs="Times New Roman"/>
          <w:b w:val="false"/>
          <w:bCs/>
          <w:w w:val="100"/>
          <w:sz w:val="28"/>
          <w:szCs w:val="28"/>
          <w:lang w:val="en-US" w:eastAsia="zh-CN"/>
        </w:rPr>
        <w:t>6</w:t>
      </w: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  <w:lang w:val="en-US" w:eastAsia="zh-CN"/>
        </w:rPr>
        <w:t>日</w:t>
      </w:r>
      <w:r>
        <w:rPr>
          <w:rFonts w:ascii="Times New Roman" w:hAnsi="Times New Roman" w:cs="Times New Roman" w:eastAsia="楷体_GB2312;楷体"/>
          <w:b w:val="false"/>
          <w:bCs/>
          <w:w w:val="100"/>
          <w:sz w:val="28"/>
          <w:szCs w:val="28"/>
        </w:rPr>
        <w:t xml:space="preserve"> </w:t>
      </w:r>
    </w:p>
    <w:tbl>
      <w:tblPr>
        <w:tblW w:w="141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3"/>
        <w:gridCol w:w="1199"/>
        <w:gridCol w:w="1145"/>
        <w:gridCol w:w="1145"/>
        <w:gridCol w:w="1284"/>
        <w:gridCol w:w="900"/>
        <w:gridCol w:w="1927"/>
        <w:gridCol w:w="4900"/>
        <w:gridCol w:w="1137"/>
      </w:tblGrid>
      <w:tr>
        <w:trPr>
          <w:tblHeader w:val="true"/>
          <w:trHeight w:val="788" w:hRule="atLeast"/>
        </w:trPr>
        <w:tc>
          <w:tcPr>
            <w:tcW w:w="473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序号</w:t>
            </w:r>
          </w:p>
        </w:tc>
        <w:tc>
          <w:tcPr>
            <w:tcW w:w="1199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单位名称</w:t>
            </w:r>
          </w:p>
        </w:tc>
        <w:tc>
          <w:tcPr>
            <w:tcW w:w="1145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w w:val="10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社会信</w:t>
            </w:r>
          </w:p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w w:val="10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用代码</w:t>
            </w:r>
          </w:p>
        </w:tc>
        <w:tc>
          <w:tcPr>
            <w:tcW w:w="1145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法定代表人</w:t>
            </w:r>
          </w:p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（负责人）</w:t>
            </w:r>
          </w:p>
        </w:tc>
        <w:tc>
          <w:tcPr>
            <w:tcW w:w="128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单位地址</w:t>
            </w:r>
          </w:p>
        </w:tc>
        <w:tc>
          <w:tcPr>
            <w:tcW w:w="900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登记注册类型</w:t>
            </w:r>
          </w:p>
        </w:tc>
        <w:tc>
          <w:tcPr>
            <w:tcW w:w="1927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主要违法事实</w:t>
            </w:r>
          </w:p>
        </w:tc>
        <w:tc>
          <w:tcPr>
            <w:tcW w:w="4900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查处与整改主要情况</w:t>
            </w:r>
          </w:p>
        </w:tc>
        <w:tc>
          <w:tcPr>
            <w:tcW w:w="1137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Cs/>
                <w:spacing w:val="0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bCs/>
                <w:spacing w:val="0"/>
                <w:w w:val="100"/>
                <w:sz w:val="21"/>
                <w:szCs w:val="21"/>
              </w:rPr>
              <w:t>备注</w:t>
            </w:r>
          </w:p>
        </w:tc>
      </w:tr>
      <w:tr>
        <w:trPr>
          <w:trHeight w:val="1916" w:hRule="atLeast"/>
        </w:trPr>
        <w:tc>
          <w:tcPr>
            <w:tcW w:w="473" w:type="dxa"/>
            <w:tcBorders>
              <w:top w:val="single" w:sz="4" w:space="0" w:color="000000"/>
              <w:start w:val="single" w:sz="8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</w:pPr>
            <w:r>
              <w:rPr>
                <w:rFonts w:eastAsia="宋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eastAsia="方正仿宋简体"/>
                <w:b w:val="false"/>
                <w:bCs w:val="false"/>
                <w:spacing w:val="0"/>
                <w:w w:val="90"/>
                <w:sz w:val="21"/>
                <w:szCs w:val="21"/>
                <w:lang w:eastAsia="zh-CN"/>
              </w:rPr>
              <w:t>成都邑尚环保工程有限公司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</w:rPr>
            </w:pPr>
            <w:r>
              <w:rPr>
                <w:rFonts w:eastAsia="方正仿宋简体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915101076771856094</w:t>
            </w:r>
          </w:p>
        </w:tc>
        <w:tc>
          <w:tcPr>
            <w:tcW w:w="1145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eastAsia="方正仿宋简体"/>
                <w:b w:val="false"/>
                <w:spacing w:val="0"/>
                <w:w w:val="90"/>
                <w:sz w:val="21"/>
                <w:szCs w:val="21"/>
                <w:lang w:eastAsia="zh-CN"/>
              </w:rPr>
              <w:t>黄万</w:t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</w:rPr>
            </w:pPr>
            <w:r>
              <w:rPr>
                <w:rFonts w:ascii="Times New Roman" w:hAnsi="Times New Roman" w:cs="Times New Roman" w:eastAsia="方正仿宋简体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成都市武侯区武青西四路</w:t>
            </w:r>
            <w:r>
              <w:rPr>
                <w:rFonts w:eastAsia="方正仿宋简体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3</w:t>
            </w:r>
            <w:r>
              <w:rPr>
                <w:rFonts w:ascii="Times New Roman" w:hAnsi="Times New Roman" w:cs="Times New Roman" w:eastAsia="方正仿宋简体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号</w:t>
            </w:r>
            <w:r>
              <w:rPr>
                <w:rFonts w:eastAsia="方正仿宋简体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B</w:t>
            </w:r>
            <w:r>
              <w:rPr>
                <w:rFonts w:ascii="Times New Roman" w:hAnsi="Times New Roman" w:cs="Times New Roman" w:eastAsia="方正仿宋简体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栋</w:t>
            </w:r>
            <w:r>
              <w:rPr>
                <w:rFonts w:eastAsia="方正仿宋简体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5</w:t>
            </w:r>
            <w:r>
              <w:rPr>
                <w:rFonts w:ascii="Times New Roman" w:hAnsi="Times New Roman" w:cs="Times New Roman" w:eastAsia="方正仿宋简体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层</w:t>
            </w:r>
            <w:r>
              <w:rPr>
                <w:rFonts w:eastAsia="方正仿宋简体" w:cs="Times New Roman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505</w:t>
            </w:r>
            <w:r>
              <w:rPr>
                <w:rFonts w:ascii="Times New Roman" w:hAnsi="Times New Roman" w:cs="Times New Roman" w:eastAsia="方正仿宋简体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号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</w:rPr>
            </w:pPr>
            <w:r>
              <w:rPr>
                <w:rFonts w:ascii="Times New Roman" w:hAnsi="Times New Roman" w:cs="Times New Roman" w:eastAsia="方正仿宋简体"/>
                <w:b w:val="false"/>
                <w:bCs/>
                <w:i w:val="false"/>
                <w:iCs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FFFFF" w:val="clear"/>
              </w:rPr>
              <w:t>有限责任公司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eastAsia="方正仿宋简体"/>
                <w:b w:val="false"/>
                <w:spacing w:val="0"/>
                <w:w w:val="90"/>
                <w:sz w:val="21"/>
                <w:szCs w:val="21"/>
                <w:lang w:eastAsia="zh-CN"/>
              </w:rPr>
              <w:t>经查，成都邑尚环保工程有限公司拖欠赵培银等</w:t>
            </w:r>
            <w:r>
              <w:rPr>
                <w:rFonts w:eastAsia="方正仿宋简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  <w:t>112</w:t>
            </w:r>
            <w:r>
              <w:rPr>
                <w:rFonts w:ascii="Times New Roman" w:hAnsi="Times New Roman" w:cs="Times New Roman" w:eastAsia="方正仿宋简体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  <w:t>人劳动报酬</w:t>
            </w:r>
            <w:r>
              <w:rPr>
                <w:rFonts w:eastAsia="方正仿宋简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  <w:t>1461372.3</w:t>
            </w:r>
            <w:r>
              <w:rPr>
                <w:rFonts w:ascii="Times New Roman" w:hAnsi="Times New Roman" w:cs="Times New Roman" w:eastAsia="方正仿宋简体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  <w:t>元。</w:t>
            </w:r>
          </w:p>
        </w:tc>
        <w:tc>
          <w:tcPr>
            <w:tcW w:w="4900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r>
              <w:t>2020年10月，赵培银等112人名劳动者到南江县人力资源和社会保障局投诉，反映四川邑尚环保工程有限公司拖欠他们劳动报酬。接到案件后，南江县人力资源和社会保障局立即立案调查，经核实，该公司拖欠赵培银等112名劳动者报酬共计1461372.3元。疑似日期错误，南江县人力资源和社会保障局向成都邑尚环保工程有限公司下达了《劳动保障监察责令改正决定书》（南人社监令〔2020〕第23号）责令该公司在收到改正决定书7日内支付劳动者报酬，但该公司未按照指令进行整改。2021年1月8日，南江县人力资源和社会保障局向成都邑尚环保工程有限公司下达了《劳动保障监察行政处理决定书》（南人社监理〔2021〕001号）。若该公司在法定期限内不申请行政复议或提起行政诉讼，南江县人力资源和社会保障局将依法申请法院强制执行。</w:t>
            </w:r>
          </w:p>
        </w:tc>
        <w:tc>
          <w:tcPr>
            <w:tcW w:w="1137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宋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</w:pPr>
            <w:r>
              <w:rPr>
                <w:rFonts w:eastAsia="宋体" w:cs="Times New Roman"/>
                <w:b w:val="false"/>
                <w:spacing w:val="0"/>
                <w:w w:val="90"/>
                <w:sz w:val="21"/>
                <w:szCs w:val="21"/>
                <w:lang w:val="en-US" w:eastAsia="zh-C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仿宋_GB2312" w:cs="Times New Roman"/>
      <w:b/>
      <w:color w:val="auto"/>
      <w:spacing w:val="-12"/>
      <w:w w:val="80"/>
      <w:kern w:val="2"/>
      <w:sz w:val="2"/>
      <w:szCs w:val="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basedOn w:val="Style14"/>
    <w:qFormat/>
    <w:rPr>
      <w:rFonts w:ascii="Times New Roman" w:hAnsi="Times New Roman" w:eastAsia="仿宋_GB2312" w:cs="Times New Roman"/>
      <w:b/>
      <w:spacing w:val="-12"/>
      <w:w w:val="80"/>
      <w:kern w:val="2"/>
      <w:sz w:val="18"/>
      <w:szCs w:val="18"/>
    </w:rPr>
  </w:style>
  <w:style w:type="character" w:styleId="PageNumber">
    <w:name w:val="page number"/>
    <w:basedOn w:val="Style14"/>
    <w:rPr/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表格内容"/>
    <w:basedOn w:val="Normal"/>
    <w:qFormat/>
    <w:pPr>
      <w:widowControl w:val="false"/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38880</TotalTime>
  <Application>LibreOffice/25.2.0.3$Windows_X86_64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PCRS-LDJC-YS</dc:creator>
  <dc:description/>
  <dc:language>zh-CN</dc:language>
  <cp:lastModifiedBy>莎莎大人</cp:lastModifiedBy>
  <cp:lastPrinted>2021-05-06T15:24:00Z</cp:lastPrinted>
  <dcterms:modified xsi:type="dcterms:W3CDTF">2021-05-07T10:06:34Z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1B8B8F5F5D144F40903ACBAB272FDC63</vt:lpwstr>
  </property>
  <property fmtid="{D5CDD505-2E9C-101B-9397-08002B2CF9AE}" pid="3" name="KSOProductBuildVer">
    <vt:lpwstr>2052-11.1.0.10463</vt:lpwstr>
  </property>
  <property fmtid="{D5CDD505-2E9C-101B-9397-08002B2CF9AE}" pid="4" name="KSOSaveFontToCloudKey">
    <vt:lpwstr>443476479_btnclosed</vt:lpwstr>
  </property>
</Properties>
</file>