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580" w:lineRule="exact"/>
        <w:jc w:val="center"/>
        <w:textAlignment w:val="auto"/>
        <w:outlineLvl w:val="0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580" w:lineRule="exact"/>
        <w:jc w:val="center"/>
        <w:textAlignment w:val="auto"/>
        <w:outlineLvl w:val="0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580" w:lineRule="exact"/>
        <w:jc w:val="both"/>
        <w:textAlignment w:val="auto"/>
        <w:rPr>
          <w:rFonts w:ascii="仿宋" w:hAnsi="仿宋" w:eastAsia="仿宋" w:cs="Times New Roman"/>
          <w:sz w:val="32"/>
          <w:szCs w:val="32"/>
          <w:shd w:val="clear" w:color="auto" w:fill="FFFFFF"/>
        </w:rPr>
      </w:pPr>
    </w:p>
    <w:tbl>
      <w:tblPr>
        <w:tblStyle w:val="10"/>
        <w:tblpPr w:leftFromText="180" w:rightFromText="180" w:vertAnchor="text" w:horzAnchor="page" w:tblpX="1674" w:tblpY="22"/>
        <w:tblOverlap w:val="never"/>
        <w:tblW w:w="8900" w:type="dxa"/>
        <w:tblInd w:w="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733"/>
        <w:gridCol w:w="776"/>
        <w:gridCol w:w="620"/>
        <w:gridCol w:w="2606"/>
        <w:gridCol w:w="736"/>
        <w:gridCol w:w="2114"/>
        <w:gridCol w:w="5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0" w:type="dxa"/>
          <w:trHeight w:val="450" w:hRule="atLeast"/>
        </w:trPr>
        <w:tc>
          <w:tcPr>
            <w:tcW w:w="83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32"/>
                <w:szCs w:val="32"/>
              </w:rPr>
              <w:t>202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32"/>
                <w:szCs w:val="32"/>
                <w:lang w:val="en-US" w:eastAsia="zh-CN"/>
              </w:rPr>
              <w:t>3</w:t>
            </w:r>
            <w:r>
              <w:rPr>
                <w:rFonts w:ascii="Times New Roman" w:hAnsi="Times New Roman" w:eastAsia="方正仿宋简体" w:cs="Times New Roman"/>
                <w:color w:val="000000"/>
                <w:sz w:val="32"/>
                <w:szCs w:val="32"/>
              </w:rPr>
              <w:t>年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32"/>
                <w:szCs w:val="32"/>
                <w:lang w:eastAsia="zh-CN"/>
              </w:rPr>
              <w:t>度</w:t>
            </w:r>
            <w:bookmarkStart w:id="0" w:name="_GoBack"/>
            <w:bookmarkEnd w:id="0"/>
            <w:r>
              <w:rPr>
                <w:rFonts w:hint="eastAsia" w:ascii="Times New Roman" w:hAnsi="Times New Roman" w:eastAsia="方正仿宋简体" w:cs="Times New Roman"/>
                <w:color w:val="000000"/>
                <w:sz w:val="32"/>
                <w:szCs w:val="32"/>
                <w:lang w:val="en-US" w:eastAsia="zh-CN"/>
              </w:rPr>
              <w:t>县</w:t>
            </w:r>
            <w:r>
              <w:rPr>
                <w:rFonts w:ascii="Times New Roman" w:hAnsi="Times New Roman" w:eastAsia="方正仿宋简体" w:cs="Times New Roman"/>
                <w:color w:val="000000"/>
                <w:sz w:val="32"/>
                <w:szCs w:val="32"/>
              </w:rPr>
              <w:t>级部门整体支出绩效评价指标体系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一级指标</w:t>
            </w:r>
          </w:p>
        </w:tc>
        <w:tc>
          <w:tcPr>
            <w:tcW w:w="7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二级指标</w:t>
            </w:r>
          </w:p>
        </w:tc>
        <w:tc>
          <w:tcPr>
            <w:tcW w:w="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三级指标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分值</w:t>
            </w:r>
          </w:p>
        </w:tc>
        <w:tc>
          <w:tcPr>
            <w:tcW w:w="26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评价内容</w:t>
            </w:r>
          </w:p>
        </w:tc>
        <w:tc>
          <w:tcPr>
            <w:tcW w:w="28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评价标准及计算方法</w:t>
            </w:r>
          </w:p>
        </w:tc>
        <w:tc>
          <w:tcPr>
            <w:tcW w:w="5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评价得分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33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评价得分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98</w:t>
            </w: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基础工作管理（15分）</w:t>
            </w: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组织机构完善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岗位设置合理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成立各种相应的组织机构及机构合理性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成立相应组织机构、内控岗位设置合理得2分，组织机构不健全、内控岗位设置不合理相应扣分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管理制度完善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内控制度建立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包括制定财政资金管理办法、内控制度，会计核算制度等管理制度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管理制度完善2分，制度不够完善相应扣分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内控制度合规性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部门制定的管理制度合法、合规、完整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制度合法、合规、完整2分，反之相应扣分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内控制度执行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部门制定的内控制度得到有效执行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有效执行2分，未能有效执行相应扣分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指标体系完善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指标体系完善程度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部门制定的项目预算支出评价个性指标体系健全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个性指标体系健全2分，指标体系不够健全相应扣分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宣传培训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宣传培训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部门对绩效评价工作开展的宣传培训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开展了宣传培训1分，未能开展宣传培训相应扣分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会计核算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会计核算及时性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会计核算及时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会计核算及时，日清月结的得1分，核算不及时的相应扣分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会计核算规范性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会计核算规范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会计核算规范、科目使用准确、原始发票及附件充分、分项目核算的得2分，否则相应扣分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会计档案管理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会计档案规范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会计档案整理规范的得1分，不规范的相应扣分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绩效目标管理（10分）</w:t>
            </w:r>
          </w:p>
        </w:tc>
        <w:tc>
          <w:tcPr>
            <w:tcW w:w="7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绩效目标合理性　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合规性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绩效目标管理符合国家法律法规、国民经济和社会发展总体规划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绩效目标符合相关法规和总体规划1分，绩效目标不够合理的相应扣分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与工作衔接度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绩效目标符合部门“三定”方案确定的职责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绩效目标符合部分“三定”方案1分，不符合相应扣分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与中长期规划衔接度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绩效目标符合部门制定的中长期规划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绩效目标符合部门制定的中长期规划1分，不符合相应扣分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绩效目标覆盖率　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绩效目标覆盖率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部门绩效目标覆盖率达到年度预算布置的要求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绩效目标覆盖率＝实际申报绩效目标项目资金额/部门项目预算资金总额×100%。每低于10个百分点扣1分，扣完为止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绩效指标明确性　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绩效指标完整性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绩效目标申报表的填写完整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申报表填写完整1分，不完整相应扣分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绩效指标操作性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绩效指标设置清晰、可衡量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绩效指标设置清晰、可衡量1分，反之相应扣分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与预算资金匹配度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 xml:space="preserve">绩效指标与本年度部门预算资金相匹配 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绩效指标与资金相匹配1分，不完全匹配相应扣分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7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绩效运行监控（15分）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预算完成率</w:t>
            </w: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部门预算支出完成率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部门预算支出完成程度</w:t>
            </w:r>
          </w:p>
        </w:tc>
        <w:tc>
          <w:tcPr>
            <w:tcW w:w="2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预算完成率＝[年度支出完成数/年度支出预算数（含调整预算及结转结余）]×100%。跨年度项目按工程进度或平均年度额分析计算。预算完成率90%及以上的得2分。每低于要求5个百分点扣1分，扣完为止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7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项目预算执行率　</w:t>
            </w:r>
          </w:p>
        </w:tc>
        <w:tc>
          <w:tcPr>
            <w:tcW w:w="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部门预算项目执行率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部门项目预算执行调整程度</w:t>
            </w:r>
          </w:p>
        </w:tc>
        <w:tc>
          <w:tcPr>
            <w:tcW w:w="28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项目预算执行率＝[年度项目实际支出数/项目预算数（含调整预算及结转结余）]×100%。跨年度项目按工程进度或平均年度额分析计算。预算执行偏差度在10%以内的得2分，每超过5个百分点扣1分，扣完为止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政府采购监管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预算执行率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部门政府采购预算执行情况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政府采购执行率=[实际政府采购金额/政府采购预算数（含调整预算）]×100%。政府采购预算执行偏差度在10%以内的得1分，超过的不得分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财政审批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部门政府采购财政审批情况　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应政府采购未采购的每发生一起扣0.5分，扣完该项得分为止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政府采购合规性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部门政府采购合规性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存在政府采购违规行为的该项不得分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 xml:space="preserve">三公经费控制率 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三公经费控制率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部门“三公”经费控制程度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“三公”经费控制率＝（“三公”经费实际支出数/“三公”经费预算数）×100%。“三公”经费控制率≤100%的得3分，每高于要求2个百分点扣1分，扣完为止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资产管理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资产管理信息系统建设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部门资产管理信息系统建设情况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考核部门和单位将国有资产纳入资产信息系统管理情况,已建好部门资产管理信息系统得1分，未建好不得分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资产清核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部门资产清理核实开展情况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考核部门和单位已按要求及时、真实、准确、全面开展资产清查、核实情况得1分，反之不得分；账实不合的按比例扣分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日常管理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部门资产登记、上报及管理情况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考核部门和单位已经对国有资产登记、上报，并出台管理办法、制度等措施得1分，差项按比例得分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预决算信息公开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预算信息公开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按规定内容、时限公开预算信息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按规定公开预算信息得1分，未按规定公开相应扣减分数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决算信息公开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按规定内容、时限公开决算信息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按规定公开决算信息得1分，未按规定公开相应扣减分数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绩效评价实施（15分）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部门项目自评率　</w:t>
            </w: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部门项目自评率　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部门实施绩效评价项目覆盖情况</w:t>
            </w:r>
          </w:p>
        </w:tc>
        <w:tc>
          <w:tcPr>
            <w:tcW w:w="2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项目自评率＝自评项目数/项目总数×100%。按项目自评率得分（部门整体支出自评中列示项目的视为已自评）。</w:t>
            </w:r>
          </w:p>
        </w:tc>
        <w:tc>
          <w:tcPr>
            <w:tcW w:w="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7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 xml:space="preserve">资金评价覆盖率  </w:t>
            </w: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 xml:space="preserve">资金评价覆盖率  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部门绩效评价项目资金覆盖情况</w:t>
            </w:r>
          </w:p>
        </w:tc>
        <w:tc>
          <w:tcPr>
            <w:tcW w:w="2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项目资金覆盖率=实施绩效评价项目资金额/部门项目预算资金总额×100%。绩效评价资金覆盖率100%得5分；每低于要求10个百分点扣1分，扣完为止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5</w:t>
            </w: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 xml:space="preserve">评价质量 </w:t>
            </w:r>
          </w:p>
        </w:tc>
        <w:tc>
          <w:tcPr>
            <w:tcW w:w="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 xml:space="preserve">评价质量 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部门绩效评价质量情况</w:t>
            </w:r>
          </w:p>
        </w:tc>
        <w:tc>
          <w:tcPr>
            <w:tcW w:w="28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根据评价工作开展情况、评价报告质量、资料收集情况等综合评分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评价结果应用　　（15分）</w:t>
            </w: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绩效信息公开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绩效信息公开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绩效信息公开情况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按《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南江县县</w:t>
            </w: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级预算绩效信息公开规程》规定公开绩效信息的得3分，未按规定公开相应扣分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绩效管理问题整改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绩效管理问题整改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绩效管理问题整改情况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上年绩效评价发现的问题全面整改到位的得3分，没有全面整改到位的按比例得分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其他监督检查问题整改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其他监督检查问题整改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其他监督检查问题整改情况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各级巡视巡察、纪检监察、审计、财政监督检查等发现问题全面整改到位的得3分，没有全面整改到位的按比例得分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监督管理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绩效问责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按规定实施绩效问责情况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按规定实施绩效问责得3分，未按规定实施绩效问责相应扣分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项目及资金调整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项目及资金调整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根据绩效评价结果调整下年项目及金额情况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根据上年度绩效评价结果调整下年度项目及金额的得3分，未按规定调整的相应扣分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项目支出绩效管理（30分）</w:t>
            </w: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项目支出绩效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部门实施项目支出评价情况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45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按百分制形成的项目支出绩效评价分数换算成此项指标得分。有两个及以上专项预算项目的，以平均分作为得分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default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绩效管理创新(+5分)</w:t>
            </w:r>
          </w:p>
        </w:tc>
        <w:tc>
          <w:tcPr>
            <w:tcW w:w="15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管理制度创新　　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在绩效管理制度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eastAsia="zh-CN"/>
              </w:rPr>
              <w:t>上</w:t>
            </w: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有创新</w:t>
            </w:r>
          </w:p>
        </w:tc>
        <w:tc>
          <w:tcPr>
            <w:tcW w:w="2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在绩效管理制度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eastAsia="zh-CN"/>
              </w:rPr>
              <w:t>上</w:t>
            </w: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有创新或者发表相关研究文章的相应得分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工作推进创新　　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在工作推进中有创新</w:t>
            </w:r>
          </w:p>
        </w:tc>
        <w:tc>
          <w:tcPr>
            <w:tcW w:w="2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在推进自我评价、配合重点评价、完善个性指标体系方面的创新的相应得分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监督发现问题 (-5分)</w:t>
            </w:r>
          </w:p>
        </w:tc>
        <w:tc>
          <w:tcPr>
            <w:tcW w:w="15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违规问题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-5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部门或个人存在违反财政监督管理等情况</w:t>
            </w:r>
          </w:p>
        </w:tc>
        <w:tc>
          <w:tcPr>
            <w:tcW w:w="2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各级巡视巡察、纪检监察、审计、财政监督检查等发现财政管理问题的，每发现一类问题扣1分（多个部门发现的同类问题不重复扣分），涉及金额或社会影响较大的扣2-5分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2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扣分项（-5分）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-5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被评价单位配合评价工作情况</w:t>
            </w:r>
          </w:p>
        </w:tc>
        <w:tc>
          <w:tcPr>
            <w:tcW w:w="2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财政重点评价过程中，发现评价对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eastAsia="zh-CN"/>
              </w:rPr>
              <w:t>象</w:t>
            </w: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拖延推诿、提交资料不及时等不配合评价工作的，经报</w:t>
            </w:r>
            <w:r>
              <w:rPr>
                <w:rFonts w:hint="eastAsia" w:ascii="Times New Roman" w:hAnsi="Times New Roman" w:eastAsia="方正仿宋简体" w:cs="Times New Roman"/>
                <w:color w:val="000000"/>
                <w:sz w:val="18"/>
                <w:szCs w:val="18"/>
                <w:lang w:val="en-US" w:eastAsia="zh-CN"/>
              </w:rPr>
              <w:t>县</w:t>
            </w: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财政局确认后每次扣1分，最高扣5分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4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评价结论</w:t>
            </w:r>
          </w:p>
        </w:tc>
        <w:tc>
          <w:tcPr>
            <w:tcW w:w="742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方正仿宋简体" w:cs="Times New Roman"/>
                <w:color w:val="000000"/>
                <w:sz w:val="18"/>
                <w:szCs w:val="18"/>
              </w:rPr>
              <w:t>总评分（Ｘ）　优秀（Ｘ≥90分)　良好（90＞Ｘ≥75分）合格（75分＞Ｘ≥60分）　不合格（Ｘ＜60）分）</w:t>
            </w:r>
          </w:p>
        </w:tc>
      </w:tr>
    </w:tbl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jc w:val="both"/>
        <w:textAlignment w:val="auto"/>
        <w:rPr>
          <w:rFonts w:hint="eastAsia" w:ascii="仿宋" w:hAnsi="仿宋" w:eastAsia="仿宋" w:cs="Times New Roman"/>
          <w:b/>
          <w:bCs/>
          <w:sz w:val="10"/>
          <w:szCs w:val="10"/>
          <w:shd w:val="clear" w:color="auto" w:fill="FFFFF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00007A87" w:usb1="80000000" w:usb2="00000008" w:usb3="00000000" w:csb0="400001FF" w:csb1="FFFF0000"/>
  </w:font>
  <w:font w:name="宋体">
    <w:panose1 w:val="02010600030101010101"/>
    <w:charset w:val="7A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altName w:val="Arial Unicode MS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仿宋简体">
    <w:altName w:val="Arial Unicode MS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mODZiODJhNGQ0N2JiODA2NGZlOTQ5YjhmZDk2YzkifQ=="/>
  </w:docVars>
  <w:rsids>
    <w:rsidRoot w:val="001D49CD"/>
    <w:rsid w:val="00075503"/>
    <w:rsid w:val="000868AF"/>
    <w:rsid w:val="00094848"/>
    <w:rsid w:val="00176CA7"/>
    <w:rsid w:val="00180835"/>
    <w:rsid w:val="001D49CD"/>
    <w:rsid w:val="001D644D"/>
    <w:rsid w:val="002F5936"/>
    <w:rsid w:val="00351F0D"/>
    <w:rsid w:val="003524A2"/>
    <w:rsid w:val="00464B6D"/>
    <w:rsid w:val="0048636A"/>
    <w:rsid w:val="00585493"/>
    <w:rsid w:val="005A67EC"/>
    <w:rsid w:val="00602708"/>
    <w:rsid w:val="00653439"/>
    <w:rsid w:val="006C1E1E"/>
    <w:rsid w:val="006D5DA1"/>
    <w:rsid w:val="006E6654"/>
    <w:rsid w:val="007165DA"/>
    <w:rsid w:val="00734FAF"/>
    <w:rsid w:val="009644AA"/>
    <w:rsid w:val="009646F1"/>
    <w:rsid w:val="009A3E80"/>
    <w:rsid w:val="009C281C"/>
    <w:rsid w:val="00AB46D9"/>
    <w:rsid w:val="00B85933"/>
    <w:rsid w:val="00C54937"/>
    <w:rsid w:val="00DD1555"/>
    <w:rsid w:val="00DE42DD"/>
    <w:rsid w:val="00E22198"/>
    <w:rsid w:val="00E37D57"/>
    <w:rsid w:val="00EA3E02"/>
    <w:rsid w:val="00EC0E2D"/>
    <w:rsid w:val="00F11F1C"/>
    <w:rsid w:val="00FC3601"/>
    <w:rsid w:val="00FF1D47"/>
    <w:rsid w:val="03360C97"/>
    <w:rsid w:val="045F3906"/>
    <w:rsid w:val="06734B80"/>
    <w:rsid w:val="07CF228A"/>
    <w:rsid w:val="0BC639A4"/>
    <w:rsid w:val="0C69670F"/>
    <w:rsid w:val="10C50DD0"/>
    <w:rsid w:val="14193629"/>
    <w:rsid w:val="16262E3E"/>
    <w:rsid w:val="17227C6E"/>
    <w:rsid w:val="19F416DC"/>
    <w:rsid w:val="1D3B5C64"/>
    <w:rsid w:val="1F263BAC"/>
    <w:rsid w:val="21E00674"/>
    <w:rsid w:val="2544668C"/>
    <w:rsid w:val="293731F3"/>
    <w:rsid w:val="2AD05060"/>
    <w:rsid w:val="2D9C5EBB"/>
    <w:rsid w:val="323228EB"/>
    <w:rsid w:val="37FE39FA"/>
    <w:rsid w:val="42D57F0A"/>
    <w:rsid w:val="47906638"/>
    <w:rsid w:val="4803495B"/>
    <w:rsid w:val="495042D1"/>
    <w:rsid w:val="4CDE4421"/>
    <w:rsid w:val="51FAF23B"/>
    <w:rsid w:val="54802CFF"/>
    <w:rsid w:val="54A84FC1"/>
    <w:rsid w:val="54FC355F"/>
    <w:rsid w:val="569B4A42"/>
    <w:rsid w:val="591D4656"/>
    <w:rsid w:val="5B160293"/>
    <w:rsid w:val="5D7C5EAE"/>
    <w:rsid w:val="5EBA601D"/>
    <w:rsid w:val="5FF5099E"/>
    <w:rsid w:val="603612E6"/>
    <w:rsid w:val="606A78B3"/>
    <w:rsid w:val="67D135C3"/>
    <w:rsid w:val="67DF0B0B"/>
    <w:rsid w:val="6DF9A3DA"/>
    <w:rsid w:val="6EAA5F3E"/>
    <w:rsid w:val="6FF00C7D"/>
    <w:rsid w:val="70AB3A18"/>
    <w:rsid w:val="70F16387"/>
    <w:rsid w:val="73DF2FB4"/>
    <w:rsid w:val="745F6DB9"/>
    <w:rsid w:val="74DA2B1D"/>
    <w:rsid w:val="76930DB7"/>
    <w:rsid w:val="79A71ECF"/>
    <w:rsid w:val="7B214DB1"/>
    <w:rsid w:val="7C6FFEC6"/>
    <w:rsid w:val="7CAB2FF1"/>
    <w:rsid w:val="7DED5587"/>
    <w:rsid w:val="7E7B4C96"/>
    <w:rsid w:val="7ED75A14"/>
    <w:rsid w:val="7EE76197"/>
    <w:rsid w:val="7EEB18C2"/>
    <w:rsid w:val="DFFBE4AC"/>
    <w:rsid w:val="F7D2C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仿宋" w:cs="Calibri"/>
      <w:szCs w:val="21"/>
    </w:rPr>
  </w:style>
  <w:style w:type="paragraph" w:styleId="4">
    <w:name w:val="Body Text"/>
    <w:basedOn w:val="1"/>
    <w:next w:val="1"/>
    <w:link w:val="16"/>
    <w:qFormat/>
    <w:uiPriority w:val="0"/>
    <w:pPr>
      <w:widowControl/>
      <w:spacing w:line="240" w:lineRule="atLeast"/>
      <w:jc w:val="center"/>
      <w:textAlignment w:val="center"/>
    </w:pPr>
    <w:rPr>
      <w:rFonts w:ascii="Calibri" w:hAnsi="Calibri" w:eastAsia="方正小标宋简体" w:cs="Times New Roman"/>
      <w:b/>
      <w:bCs/>
      <w:color w:val="000000"/>
      <w:w w:val="40"/>
      <w:kern w:val="0"/>
      <w:sz w:val="144"/>
      <w:szCs w:val="144"/>
    </w:r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Body Text First Indent 2"/>
    <w:basedOn w:val="5"/>
    <w:qFormat/>
    <w:uiPriority w:val="0"/>
    <w:pPr>
      <w:spacing w:after="0"/>
      <w:ind w:firstLine="420" w:firstLineChars="200"/>
    </w:pPr>
  </w:style>
  <w:style w:type="character" w:customStyle="1" w:styleId="12">
    <w:name w:val="标题 1 字符"/>
    <w:basedOn w:val="11"/>
    <w:link w:val="3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3">
    <w:name w:val="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正文文本 字符"/>
    <w:basedOn w:val="11"/>
    <w:link w:val="4"/>
    <w:qFormat/>
    <w:uiPriority w:val="0"/>
    <w:rPr>
      <w:rFonts w:ascii="Calibri" w:hAnsi="Calibri" w:eastAsia="方正小标宋简体" w:cs="Times New Roman"/>
      <w:b/>
      <w:bCs/>
      <w:color w:val="000000"/>
      <w:w w:val="40"/>
      <w:kern w:val="0"/>
      <w:sz w:val="144"/>
      <w:szCs w:val="144"/>
    </w:rPr>
  </w:style>
  <w:style w:type="paragraph" w:customStyle="1" w:styleId="17">
    <w:name w:val="无间隔1"/>
    <w:basedOn w:val="1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8">
    <w:name w:val="font21"/>
    <w:basedOn w:val="11"/>
    <w:qFormat/>
    <w:uiPriority w:val="0"/>
    <w:rPr>
      <w:rFonts w:hint="eastAsia" w:ascii="仿宋_GB2312" w:eastAsia="仿宋_GB2312" w:cs="仿宋_GB2312"/>
      <w:color w:val="000000"/>
      <w:sz w:val="16"/>
      <w:szCs w:val="16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14</Pages>
  <Words>5975</Words>
  <Characters>6140</Characters>
  <Lines>29</Lines>
  <Paragraphs>8</Paragraphs>
  <TotalTime>62</TotalTime>
  <ScaleCrop>false</ScaleCrop>
  <LinksUpToDate>false</LinksUpToDate>
  <CharactersWithSpaces>6252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2021-10-09T09:26:00Z</dcterms:created>
  <dc:creator>xtzj</dc:creator>
  <cp:lastModifiedBy>Administrator</cp:lastModifiedBy>
  <cp:lastPrinted>2024-06-12T07:08:00Z</cp:lastPrinted>
  <dcterms:modified xsi:type="dcterms:W3CDTF">2024-06-12T08:00:25Z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  <property fmtid="{D5CDD505-2E9C-101B-9397-08002B2CF9AE}" pid="3" name="ICV">
    <vt:lpwstr>E033E713D67D174DA95AF062DF0858C9</vt:lpwstr>
  </property>
</Properties>
</file>