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ГОСТ 34.602-2020</w:t>
      </w:r>
      <w:r>
        <w:rPr>
          <w:rFonts w:ascii="Times New Roman" w:hAnsi="Times New Roman" w:eastAsia="Times New Roman" w:cs="Times New Roman"/>
          <w:b/>
          <w:bCs/>
          <w:color w:val="0f1115"/>
          <w:shd w:val="clear" w:color="auto" w:fill="ffffff"/>
        </w:rPr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</w:r>
    </w:p>
    <w:p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0" w:line="288" w:lineRule="auto"/>
        <w:ind w:right="0" w:firstLine="0" w:left="0"/>
        <w:rPr>
          <w:rFonts w:ascii="Times New Roman" w:hAnsi="Times New Roman" w:cs="Times New Roman"/>
          <w:b/>
          <w:bCs/>
          <w:color w:val="000000" w:themeColor="text1"/>
          <w:spacing w:val="-4"/>
          <w:sz w:val="35"/>
          <w:szCs w:val="35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4"/>
          <w:sz w:val="35"/>
        </w:rPr>
        <w:t xml:space="preserve">Техническое задание на создание автоматизированной системы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5"/>
          <w:szCs w:val="35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Полное наименование АС: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 Система управления аптекой и складами (СУАС) для больницы</w:t>
        <w:br/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Условное обозначение: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 СУАС-1.0</w:t>
        <w:br/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Шифр темы: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 Отсутствует</w:t>
        <w:br/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Наименование организации-заказчика: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 Руководство больницы (условное обозначение)</w:t>
        <w:br/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Наименование организации-разработчика: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 Гуторов Иван, студент группы ПИбд-31</w:t>
        <w:br/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Основание для разработки: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 Договор на разработку (условный), Федеральный закон РФ № 61-ФЗ "Об обращении лекарственных средств", Федеральный закон РФ № 152-ФЗ "О персональных данных", Спецификация требований к программному обеспечению (версия 1.3 от 30.10.2025)</w:t>
        <w:br/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Утверждено: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 Заказчиком [дата: 13.11.2025]</w:t>
        <w:br/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Плановые сроки начала и окончания работ: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 Начало - 01.12.2025, окончание - 01.06.2026</w:t>
        <w:br/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Источники и порядок финансирования: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 Финансирование за счет средств заказчика (бюджет больницы), порядок - поэтапная оплата по мере выполнения работ.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12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32"/>
        </w:rPr>
        <w:t xml:space="preserve">1. Общие сведения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Система управления аптекой и складами (СУАС) предназначена для автоматизации процессов учета лекарственных средств (ЛС), медицинских изделий и расходных материалов в больнице. АС является самостоятельной системой, интегрируемой с больничной информационной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системой (электронные карты пациентов) и внешними API (Минздрав РФ для МНН).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Перечень документов, на основании которых создается АС: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Спецификация требований к ПО (версия 1.3 от 30.10.2025, утверждена заказчиком 30.10.2025).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Федеральный закон РФ № 61-ФЗ "Об обращении лекарственных средств" (утвержден 12.04.2010).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Федеральный закон РФ № 152-ФЗ "О персональных данных" (утвержден 27.07.2006).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Стандарт IEEE 830-1998 "Recommended Practice for Software Requirements Specifications".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ГОСТ 19.201-78 "Единая система программной документации. Техническое задание".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Национальный проект "Здравоохранение" (Минздрав РФ).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12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32"/>
        </w:rPr>
        <w:t xml:space="preserve">2. Цели и назначение создания автоматизированной системы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36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1"/>
          <w:sz w:val="29"/>
        </w:rPr>
        <w:t xml:space="preserve">2.1. Цели создания АС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Цели создания АС: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Автоматизация учета ЛС, медицинских изделий и материалов для минимизации ошибок ручного учета (целевое значение: снижение ошибок на 90%, критерий оценки - сравнение с текущими ручными процессами по журналам и Excel).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Обеспечение контроля остатков и сроков годности для предотвращения потерь от просрочки (целевое значение: снижение потерь на 80%, критерий - отчеты по списаниям).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Улучшение эффективности логистики: формирование заявок, резервирование и списание ЛС (целевое значение: сокращение времени на обработку заявок с 1 часа до 5 минут, критерий - измерение времени операций).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Соответствие регуляторным требованиям (ФЗ-61, ФЗ-152) и цифровизации здравоохранения (целевое значение: 100% соответствие, критерий - аудит Росздравнадзора).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Повышение удобства для пользователей за счет когнитивного интерфейса (целевое значение: время обучения &lt;1 часа, критерий - опросы пользователей).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36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1"/>
          <w:sz w:val="29"/>
        </w:rPr>
        <w:t xml:space="preserve">2.2. Назначение АС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АС предназначена для автоматизации управления аптекой и складами в больнице, включая учет, контроль, отчетность и взаимодействие с отделениями. Вид деятельности: управление логистикой и ресурсами в здравоохранении. АС применяется в рамках одного больничног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 комплекса, охватывая аптеку и склады.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12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32"/>
        </w:rPr>
        <w:t xml:space="preserve">3. Характеристика объектов автоматизации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Объектом автоматизации является аптека и склады больницы, включая процессы учета ЛС по МНН и торговым названиям, медицинских изделий, контроля остатков и сроков годности, формирования заявок от отделений, резервирования и списания.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Основные сведения об объекте: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Больничный комплекс с до 50 пользователями (кладовщики, врачи, администраторы).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Текущие процессы: ручные журналы и Excel-таблицы, подлежащие замене.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Условия эксплуатации: локальная сеть больницы, стабильный интернет для интеграций; окружающая среда - стандартные условия медицинского учреждения (температура 18-25°C, влажность 40-60%, без экстремальных воздействий).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Ссылка на документы: Спецификация требований (раздел 2.1 Общий взгляд на продукт).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12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32"/>
        </w:rPr>
        <w:t xml:space="preserve">4. Требования к автоматизированной системе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36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1"/>
          <w:sz w:val="29"/>
        </w:rPr>
        <w:t xml:space="preserve">4.1. Требования к структуре АС в целом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АС состоит из подсистем: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Подсистема учета ЛС и материалов (назначение: CRUD-операции, поиск, импорт; характеристики: интеграция с БД PostgreSQL).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Подсистема контроля (назначение: мониторинг остатков и сроков; характеристики: автоматические уведомления).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Подсистема заявок и резервирования (назначение: обработка заявок, резервирование; характеристики: интеграция с ЭМК).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Подсистема отчетности (назначение: генерация отчетов; характеристики: экспорт в PDF/Excel).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Требования к взаимодействию: информационный обмен через REST API (JSON), совместимость со смежными системами (ЭМК, API Минздрава). Режимы функционирования: непрерывный (24/7) с диагностикой сбоев. Перспективы: масштабирование до 100 пользователей, добавлен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ие мобильного приложения.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Ссылка на ГОСТ 19.201-78.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36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1"/>
          <w:sz w:val="29"/>
        </w:rPr>
        <w:t xml:space="preserve">4.2. Требования к функциям (задачам), выполняемым АС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Перечень функций: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Учет ЛС по МНН (результат: обновленная БД, точность 100%, время &lt;1 сек).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Учет медицинских изделий (аналогично).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Контроль сроков годности (результат: уведомления и автосписание, ежедневно).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Учет остатков (результат: дашборд в реальном времени).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Формирование заявок (результат: обработанная заявка, время &lt;2 мин).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Резервирование ЛС (результат: заблокированные остатки).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Списание ЛС (результат: обновленные остатки).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Генерация отчетов (результат: PDF/Excel файл, время &lt;5 сек).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Критерии отказов: MTBF &gt;99.9%, для критических функций (учет, списание).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36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1"/>
          <w:sz w:val="29"/>
        </w:rPr>
        <w:t xml:space="preserve">4.3. Требования к видам обеспечения АС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Математическое: использование алгоритмов валидации (например, проверка сроков), без сложных моделей.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Информационное: структура данных в PostgreSQL (таблицы для ЛС, остатков), обмен JSON, совместимость с классификаторами МНН.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Лингвистическое: русский язык интерфейса, поддержка автозаполнения.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Программное: Golang + Vue 3, интеграция с PostgreSQL, без покупки ПО.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Техническое: серверы (Intel i5, 8 ГБ RAM), ОС Windows 10+/Linux, сканеры штрих-кодов.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Метрологическое: точность учета (количество ±1 единица), методы контроля - логи.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Организационное: структура - IT-отдел, порядок взаимодействия по ролям.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Методическое: соответствие ФЗ-61, ФЗ-152, IEEE 830.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36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1"/>
          <w:sz w:val="29"/>
        </w:rPr>
        <w:t xml:space="preserve">4.4. Общие технические требования к АС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Численность персонала: 1-5 кладовщиков, обучение &lt;1 час.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Показатели назначения: отклик &lt;2 сек, пропускная способность 200 операций/мин.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Надежность: MTBF &gt;99.9%, автобэкап ежедневно.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Безопасность: шифрование AES-256, ролевой доступ.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Эргономика: Material Design, экранные ридеры.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Защита информации: от НСД по ФЗ-152.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Стандартизация: использование типовых решений (PostgreSQL, REST).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12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32"/>
        </w:rPr>
        <w:t xml:space="preserve">5. Состав и содержание работ по созданию автоматизированной системы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Этапы работ: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Анализ требований (срок: 01.12.2025 - 31.12.2025, содержание: уточнение спецификации).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Проектирование (01.01.2026 - 28.02.2026, моделирование БД, интерфейсов).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Реализация (01.03.2026 - 30.04.2026, разработка кода).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Тестирование (01.05.2026 - 31.05.2026, модульные/интеграционные тесты).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Ввод в эксплуатацию (01.06.2026, интеграция и обучение).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12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32"/>
        </w:rPr>
        <w:t xml:space="preserve">6. Порядок разработки автоматизированной системы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Организация: под руководством разработчика, с участием заказчика на этапах анализа и тестирования.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Исходные данные: спецификация, ФЗ.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Документы по этапам: отчеты по анализу, проектная документация.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Экспертиза: внутренняя проверка заказчиком.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Макеты: прототип интерфейса (без документации).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План работ: согласовать в течение 2 недель после утверждения ТЗ.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12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32"/>
        </w:rPr>
        <w:t xml:space="preserve">7. Порядок контроля и приемки автоматизированной системы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Виды испытаний: функциональные (соответствие UC), производительности (отклик &lt;2 сек), безопасности.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Методы: автоматизированные тесты (&gt;80% покрытия), ручное тестирование.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Приемка: ведомственная комиссия (заказчик + разработчик), документация - акты приемки.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12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32"/>
        </w:rPr>
        <w:t xml:space="preserve">8. Требования к составу и содержа</w:t>
        <w:tab/>
        <w:t xml:space="preserve">нию работ по подготовке объекта автоматизации к вводу АС в действие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Мероприятия: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Создание условий: установка серверов, интеграция с сетью (срок: до 01.06.2026).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Организационные: назначение ролей, обучение персонала (1 час на пользователя).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Обеспечение соответствия: аудит на ФЗ-152.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12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32"/>
        </w:rPr>
        <w:t xml:space="preserve">9. Требования к документированию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Перечень документов: Руководство пользователя (PDF), FAQ (HTML), Онлайн-справка.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Вид: электронный, количество - по одному на пользователя.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Соответствие: ГОСТ 19.201, ЕСПД.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12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32"/>
        </w:rPr>
        <w:t xml:space="preserve">10. Источники разработки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Спецификация требований к ПО (версия 1.3 от 30.10.2025).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Федеральный закон РФ № 61-ФЗ.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Федеральный закон РФ № 152-ФЗ.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Стандарт IEEE 830-1998.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ГОСТ 19.201-78.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Приложения: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Приложение 1: Словарь терминов (из спецификации).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5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Приложение 2: Модели анализа (диаграммы из спецификации).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Утверждаю: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[Подпись заказчика] [Дата]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Согласовано: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[Подпись разработчика] Гуторов Иван [Дата: 13.11.2025]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5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2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00F9A6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C405600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87F6E54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DE4C3B3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860701B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35569AD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71B56D8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2428E6C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B38DB1C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2E01B77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6C771BE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B8D3E9F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4C4E593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60C9C12"/>
    <w:lvl w:ilvl="0">
      <w:isLgl w:val="false"/>
      <w:lvlJc w:val="left"/>
      <w:lvlText w:val="·"/>
      <w:numFmt w:val="bullet"/>
      <w:pPr>
        <w:pBdr/>
        <w:spacing/>
        <w:ind w:hanging="360" w:left="11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1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5">
    <w:name w:val="Table Grid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Table Grid Light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1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2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1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2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3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5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6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Heading 1"/>
    <w:basedOn w:val="950"/>
    <w:next w:val="950"/>
    <w:link w:val="90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2">
    <w:name w:val="Heading 2"/>
    <w:basedOn w:val="950"/>
    <w:next w:val="950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3">
    <w:name w:val="Heading 3"/>
    <w:basedOn w:val="950"/>
    <w:next w:val="950"/>
    <w:link w:val="90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4">
    <w:name w:val="Heading 4"/>
    <w:basedOn w:val="950"/>
    <w:next w:val="950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5">
    <w:name w:val="Heading 5"/>
    <w:basedOn w:val="950"/>
    <w:next w:val="950"/>
    <w:link w:val="9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6">
    <w:name w:val="Heading 6"/>
    <w:basedOn w:val="950"/>
    <w:next w:val="950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7">
    <w:name w:val="Heading 7"/>
    <w:basedOn w:val="950"/>
    <w:next w:val="950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8">
    <w:name w:val="Heading 8"/>
    <w:basedOn w:val="950"/>
    <w:next w:val="950"/>
    <w:link w:val="9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Heading 9"/>
    <w:basedOn w:val="950"/>
    <w:next w:val="950"/>
    <w:link w:val="9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character" w:styleId="901">
    <w:name w:val="Heading 1 Char"/>
    <w:basedOn w:val="900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2">
    <w:name w:val="Heading 2 Char"/>
    <w:basedOn w:val="900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3">
    <w:name w:val="Heading 3 Char"/>
    <w:basedOn w:val="900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4">
    <w:name w:val="Heading 4 Char"/>
    <w:basedOn w:val="900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5">
    <w:name w:val="Heading 5 Char"/>
    <w:basedOn w:val="90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6">
    <w:name w:val="Heading 6 Char"/>
    <w:basedOn w:val="90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7">
    <w:name w:val="Heading 7 Char"/>
    <w:basedOn w:val="90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8">
    <w:name w:val="Heading 8 Char"/>
    <w:basedOn w:val="90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Heading 9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Title"/>
    <w:basedOn w:val="950"/>
    <w:next w:val="950"/>
    <w:link w:val="91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1">
    <w:name w:val="Title Char"/>
    <w:basedOn w:val="900"/>
    <w:link w:val="9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2">
    <w:name w:val="Subtitle"/>
    <w:basedOn w:val="950"/>
    <w:next w:val="950"/>
    <w:link w:val="91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3">
    <w:name w:val="Subtitle Char"/>
    <w:basedOn w:val="900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4">
    <w:name w:val="Quote"/>
    <w:basedOn w:val="950"/>
    <w:next w:val="950"/>
    <w:link w:val="9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5">
    <w:name w:val="Quote Char"/>
    <w:basedOn w:val="900"/>
    <w:link w:val="9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7">
    <w:name w:val="Intense Quote"/>
    <w:basedOn w:val="950"/>
    <w:next w:val="950"/>
    <w:link w:val="9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8">
    <w:name w:val="Intense Quote Char"/>
    <w:basedOn w:val="900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0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1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922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923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4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5">
    <w:name w:val="Header"/>
    <w:basedOn w:val="950"/>
    <w:link w:val="9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6">
    <w:name w:val="Header Char"/>
    <w:basedOn w:val="900"/>
    <w:link w:val="925"/>
    <w:uiPriority w:val="99"/>
    <w:pPr>
      <w:pBdr/>
      <w:spacing/>
      <w:ind/>
    </w:pPr>
  </w:style>
  <w:style w:type="paragraph" w:styleId="927">
    <w:name w:val="Footer"/>
    <w:basedOn w:val="950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Footer Char"/>
    <w:basedOn w:val="900"/>
    <w:link w:val="927"/>
    <w:uiPriority w:val="99"/>
    <w:pPr>
      <w:pBdr/>
      <w:spacing/>
      <w:ind/>
    </w:pPr>
  </w:style>
  <w:style w:type="paragraph" w:styleId="929">
    <w:name w:val="Caption"/>
    <w:basedOn w:val="950"/>
    <w:next w:val="9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0">
    <w:name w:val="footnote text"/>
    <w:basedOn w:val="950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basedOn w:val="900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basedOn w:val="950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basedOn w:val="900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936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7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8">
    <w:name w:val="toc 1"/>
    <w:basedOn w:val="950"/>
    <w:next w:val="950"/>
    <w:uiPriority w:val="39"/>
    <w:unhideWhenUsed/>
    <w:pPr>
      <w:pBdr/>
      <w:spacing w:after="100"/>
      <w:ind/>
    </w:pPr>
  </w:style>
  <w:style w:type="paragraph" w:styleId="939">
    <w:name w:val="toc 2"/>
    <w:basedOn w:val="950"/>
    <w:next w:val="950"/>
    <w:uiPriority w:val="39"/>
    <w:unhideWhenUsed/>
    <w:pPr>
      <w:pBdr/>
      <w:spacing w:after="100"/>
      <w:ind w:left="220"/>
    </w:pPr>
  </w:style>
  <w:style w:type="paragraph" w:styleId="940">
    <w:name w:val="toc 3"/>
    <w:basedOn w:val="950"/>
    <w:next w:val="950"/>
    <w:uiPriority w:val="39"/>
    <w:unhideWhenUsed/>
    <w:pPr>
      <w:pBdr/>
      <w:spacing w:after="100"/>
      <w:ind w:left="440"/>
    </w:pPr>
  </w:style>
  <w:style w:type="paragraph" w:styleId="941">
    <w:name w:val="toc 4"/>
    <w:basedOn w:val="950"/>
    <w:next w:val="950"/>
    <w:uiPriority w:val="39"/>
    <w:unhideWhenUsed/>
    <w:pPr>
      <w:pBdr/>
      <w:spacing w:after="100"/>
      <w:ind w:left="660"/>
    </w:pPr>
  </w:style>
  <w:style w:type="paragraph" w:styleId="942">
    <w:name w:val="toc 5"/>
    <w:basedOn w:val="950"/>
    <w:next w:val="950"/>
    <w:uiPriority w:val="39"/>
    <w:unhideWhenUsed/>
    <w:pPr>
      <w:pBdr/>
      <w:spacing w:after="100"/>
      <w:ind w:left="880"/>
    </w:pPr>
  </w:style>
  <w:style w:type="paragraph" w:styleId="943">
    <w:name w:val="toc 6"/>
    <w:basedOn w:val="950"/>
    <w:next w:val="950"/>
    <w:uiPriority w:val="39"/>
    <w:unhideWhenUsed/>
    <w:pPr>
      <w:pBdr/>
      <w:spacing w:after="100"/>
      <w:ind w:left="1100"/>
    </w:pPr>
  </w:style>
  <w:style w:type="paragraph" w:styleId="944">
    <w:name w:val="toc 7"/>
    <w:basedOn w:val="950"/>
    <w:next w:val="950"/>
    <w:uiPriority w:val="39"/>
    <w:unhideWhenUsed/>
    <w:pPr>
      <w:pBdr/>
      <w:spacing w:after="100"/>
      <w:ind w:left="1320"/>
    </w:pPr>
  </w:style>
  <w:style w:type="paragraph" w:styleId="945">
    <w:name w:val="toc 8"/>
    <w:basedOn w:val="950"/>
    <w:next w:val="950"/>
    <w:uiPriority w:val="39"/>
    <w:unhideWhenUsed/>
    <w:pPr>
      <w:pBdr/>
      <w:spacing w:after="100"/>
      <w:ind w:left="1540"/>
    </w:pPr>
  </w:style>
  <w:style w:type="paragraph" w:styleId="946">
    <w:name w:val="toc 9"/>
    <w:basedOn w:val="950"/>
    <w:next w:val="950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948">
    <w:name w:val="TOC Heading"/>
    <w:uiPriority w:val="39"/>
    <w:unhideWhenUsed/>
    <w:pPr>
      <w:pBdr/>
      <w:spacing/>
      <w:ind/>
    </w:pPr>
  </w:style>
  <w:style w:type="paragraph" w:styleId="949">
    <w:name w:val="table of figures"/>
    <w:basedOn w:val="950"/>
    <w:next w:val="950"/>
    <w:uiPriority w:val="99"/>
    <w:unhideWhenUsed/>
    <w:pPr>
      <w:pBdr/>
      <w:spacing w:after="0" w:afterAutospacing="0"/>
      <w:ind/>
    </w:pPr>
  </w:style>
  <w:style w:type="paragraph" w:styleId="950" w:default="1">
    <w:name w:val="Normal"/>
    <w:qFormat/>
    <w:pPr>
      <w:pBdr/>
      <w:spacing/>
      <w:ind/>
    </w:pPr>
  </w:style>
  <w:style w:type="table" w:styleId="9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2" w:default="1">
    <w:name w:val="No List"/>
    <w:uiPriority w:val="99"/>
    <w:semiHidden/>
    <w:unhideWhenUsed/>
    <w:pPr>
      <w:pBdr/>
      <w:spacing/>
      <w:ind/>
    </w:pPr>
  </w:style>
  <w:style w:type="paragraph" w:styleId="953">
    <w:name w:val="No Spacing"/>
    <w:basedOn w:val="950"/>
    <w:uiPriority w:val="1"/>
    <w:qFormat/>
    <w:pPr>
      <w:pBdr/>
      <w:spacing w:after="0" w:line="240" w:lineRule="auto"/>
      <w:ind/>
    </w:pPr>
  </w:style>
  <w:style w:type="paragraph" w:styleId="954">
    <w:name w:val="List Paragraph"/>
    <w:basedOn w:val="95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2025-11-18T05:58:42Z</dcterms:modified>
</cp:coreProperties>
</file>