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B98C281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МИНИСТЕРСТВО ОБРАЗОВАНИЯ И НАУКИ РОССИЙСКОЙ ФЕДЕРАЦИИ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7D8D4B5B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br/>
        <w:t xml:space="preserve">высшего профессионального образования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48393A1C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«УЛЬЯНОВСКИЙ ГОСУДАРСТВЕННЫЙ ТЕХНИЧЕСКИЙ УНИВЕРСИТЕТ»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6C313A6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tbl>
      <w:tblPr>
        <w:tblW w:w="9355" w:type="dxa"/>
        <w:tblBorders/>
        <w:tblLayout w:type="fixed"/>
        <w:tblLook w:val="04A0" w:firstRow="1" w:lastRow="0" w:firstColumn="1" w:lastColumn="0" w:noHBand="0" w:noVBand="1"/>
      </w:tblPr>
      <w:tblGrid>
        <w:gridCol w:w="1696"/>
        <w:gridCol w:w="7659"/>
      </w:tblGrid>
      <w:tr>
        <w:trPr/>
        <w:tc>
          <w:tcPr>
            <w:tcBorders/>
            <w:tcW w:w="1696" w:type="dxa"/>
          </w:tcPr>
          <w:p w14:paraId="16F0734B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Факультет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bottom w:val="single" w:color="000000" w:sz="4" w:space="0"/>
            </w:tcBorders>
            <w:tcW w:w="7659" w:type="dxa"/>
          </w:tcPr>
          <w:p w14:paraId="2965BDFE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Информационных Систем и Технологий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1696" w:type="dxa"/>
          </w:tcPr>
          <w:p w14:paraId="3B165E73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Кафедра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7659" w:type="dxa"/>
          </w:tcPr>
          <w:p w14:paraId="60871065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«Информационные системы»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rPr/>
        <w:tc>
          <w:tcPr>
            <w:tcBorders/>
            <w:tcW w:w="1696" w:type="dxa"/>
          </w:tcPr>
          <w:p w14:paraId="05071A99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Дисциплина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7659" w:type="dxa"/>
          </w:tcPr>
          <w:p w14:paraId="5BBDD1C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Конструирование программного обеспечения</w:t>
            </w:r>
            <w:r>
              <w:rPr>
                <w:rFonts w:ascii="Times New Roman" w:hAnsi="Times New Roman" w:eastAsia="Times New Roman" w:cs="Times New Roman"/>
                <w:bCs/>
                <w:color w:val="000000" w:themeColor="text1"/>
                <w:sz w:val="26"/>
                <w:szCs w:val="26"/>
              </w:rPr>
              <w:t xml:space="preserve">»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 w14:paraId="040506C4">
      <w:pPr>
        <w:pBdr/>
        <w:spacing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3F845CC0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  <w:t xml:space="preserve">ОТЧЁТ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p w14:paraId="6053E3B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  <w:t xml:space="preserve">по лабораторной работе №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5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p w14:paraId="034305B9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  <w:t xml:space="preserve">Конструирование программного обеспечения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p w14:paraId="099AA7D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tbl>
      <w:tblPr>
        <w:tblW w:w="9355" w:type="dxa"/>
        <w:tblBorders/>
        <w:tblLayout w:type="fixed"/>
        <w:tblLook w:val="04A0" w:firstRow="1" w:lastRow="0" w:firstColumn="1" w:lastColumn="0" w:noHBand="0" w:noVBand="1"/>
      </w:tblPr>
      <w:tblGrid>
        <w:gridCol w:w="2407"/>
        <w:gridCol w:w="6948"/>
      </w:tblGrid>
      <w:tr>
        <w:trPr/>
        <w:tc>
          <w:tcPr>
            <w:tcBorders/>
            <w:tcW w:w="2407" w:type="dxa"/>
          </w:tcPr>
          <w:p w14:paraId="2DEC5F49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Вариант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6948" w:type="dxa"/>
          </w:tcPr>
          <w:p w14:paraId="6F1B705F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44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 w14:paraId="08AA851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r>
    </w:p>
    <w:tbl>
      <w:tblPr>
        <w:tblW w:w="9355" w:type="dxa"/>
        <w:tblBorders/>
        <w:tblLayout w:type="fixed"/>
        <w:tblLook w:val="04A0" w:firstRow="1" w:lastRow="0" w:firstColumn="1" w:lastColumn="0" w:noHBand="0" w:noVBand="1"/>
      </w:tblPr>
      <w:tblGrid>
        <w:gridCol w:w="2407"/>
        <w:gridCol w:w="1986"/>
        <w:gridCol w:w="4962"/>
      </w:tblGrid>
      <w:tr>
        <w:trPr/>
        <w:tc>
          <w:tcPr>
            <w:tcBorders/>
            <w:tcW w:w="2407" w:type="dxa"/>
          </w:tcPr>
          <w:p w14:paraId="5BAF4645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Выполнил студент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1986" w:type="dxa"/>
          </w:tcPr>
          <w:p w14:paraId="53D7A73E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4962" w:type="dxa"/>
          </w:tcPr>
          <w:p w14:paraId="7C46FFF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Гуторов И. А.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407" w:type="dxa"/>
          </w:tcPr>
          <w:p w14:paraId="01CE3697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4" w:space="0"/>
              <w:right w:val="single" w:color="ffffff" w:sz="48" w:space="0"/>
            </w:tcBorders>
            <w:tcW w:w="1986" w:type="dxa"/>
          </w:tcPr>
          <w:p w14:paraId="7A0027B8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  <w:vertAlign w:val="superscript"/>
              </w:rPr>
              <w:t xml:space="preserve">подпись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</w:p>
        </w:tc>
        <w:tc>
          <w:tcPr>
            <w:tcBorders>
              <w:top w:val="single" w:color="000000" w:sz="4" w:space="0"/>
              <w:left w:val="single" w:color="ffffff" w:sz="48" w:space="0"/>
            </w:tcBorders>
            <w:tcW w:w="4962" w:type="dxa"/>
          </w:tcPr>
          <w:p w14:paraId="4B0A8A4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  <w:vertAlign w:val="superscript"/>
              </w:rPr>
              <w:t xml:space="preserve">инициалы, фамилия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</w:p>
        </w:tc>
      </w:tr>
    </w:tbl>
    <w:p w14:paraId="6F6D4C6A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tbl>
      <w:tblPr>
        <w:tblW w:w="9354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988"/>
        <w:gridCol w:w="1563"/>
        <w:gridCol w:w="1276"/>
        <w:gridCol w:w="1129"/>
        <w:gridCol w:w="3548"/>
      </w:tblGrid>
      <w:tr>
        <w:trPr/>
        <w:tc>
          <w:tcPr>
            <w:tcBorders/>
            <w:tcW w:w="850" w:type="dxa"/>
          </w:tcPr>
          <w:p w14:paraId="7EA3F717"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Курс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3827" w:type="dxa"/>
          </w:tcPr>
          <w:p w14:paraId="39A4340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Четвёртый
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129" w:type="dxa"/>
          </w:tcPr>
          <w:p w14:paraId="50EB5E3A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Группа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4" w:space="0"/>
            </w:tcBorders>
            <w:tcW w:w="3548" w:type="dxa"/>
          </w:tcPr>
          <w:p w14:paraId="2A6227E6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ПИбд-41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gridSpan w:val="3"/>
            <w:tcBorders/>
            <w:tcW w:w="3401" w:type="dxa"/>
          </w:tcPr>
          <w:p w14:paraId="1FFF6BAF"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Направление/специальность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single" w:color="000000" w:sz="4" w:space="0"/>
            </w:tcBorders>
            <w:tcW w:w="5953" w:type="dxa"/>
          </w:tcPr>
          <w:p w14:paraId="6AC967C0"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Программная инженерия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gridSpan w:val="2"/>
            <w:tcBorders/>
            <w:tcW w:w="1838" w:type="dxa"/>
          </w:tcPr>
          <w:p w14:paraId="2E79DE10"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Руководитель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4"/>
            <w:tcBorders>
              <w:bottom w:val="single" w:color="000000" w:sz="4" w:space="0"/>
            </w:tcBorders>
            <w:tcW w:w="7516" w:type="dxa"/>
          </w:tcPr>
          <w:p w14:paraId="66C21EE5">
            <w:pPr>
              <w:pStyle w:val="829"/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</w:rPr>
              <w:t xml:space="preserve">к. т. н., доцент, Романов Антон Алексеевич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gridSpan w:val="2"/>
            <w:tcBorders/>
            <w:tcW w:w="1838" w:type="dxa"/>
          </w:tcPr>
          <w:p w14:paraId="1F6B709C"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gridSpan w:val="4"/>
            <w:tcBorders>
              <w:top w:val="single" w:color="000000" w:sz="4" w:space="0"/>
            </w:tcBorders>
            <w:tcW w:w="7516" w:type="dxa"/>
          </w:tcPr>
          <w:p w14:paraId="03609B88">
            <w:pPr>
              <w:pBdr/>
              <w:spacing w:after="0" w:line="24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6"/>
                <w:szCs w:val="26"/>
                <w:vertAlign w:val="superscript"/>
              </w:rPr>
              <w:t xml:space="preserve">должность, учёная степень, учёное звание, фамилия, имя, отчество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</w:r>
          </w:p>
        </w:tc>
      </w:tr>
    </w:tbl>
    <w:p w14:paraId="3C3D95CE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4596F1F5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7300BE15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1538E047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20E5318D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</w:r>
    </w:p>
    <w:p w14:paraId="37254E05">
      <w:pPr>
        <w:pBdr/>
        <w:spacing w:after="0" w:line="240" w:lineRule="auto"/>
        <w:ind w:firstLine="708" w:left="4248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 xml:space="preserve">Дата сдачи: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05D81D24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«___» _____________ 20__ г.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2DDA7A3E">
      <w:pPr>
        <w:pBdr/>
        <w:spacing w:after="0" w:line="240" w:lineRule="auto"/>
        <w:ind w:left="5669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522E97A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Дата защиты: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04C6FF78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«___» _____________ 20__ г.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39041F51">
      <w:pPr>
        <w:pBdr/>
        <w:spacing w:after="0" w:line="240" w:lineRule="auto"/>
        <w:ind w:left="5669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912F549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Оценка: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52E6A3E5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ab/>
        <w:t xml:space="preserve">________________________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23106DD1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C0585DB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5448A24B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61AAE918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6326ADAD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7677D0E9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42E518AF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76130C85">
      <w:pPr>
        <w:pBdr/>
        <w:spacing w:after="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25FCCD22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 xml:space="preserve">Ульяновск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70EE7246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 w:themeColor="text1"/>
          <w:sz w:val="26"/>
          <w:szCs w:val="26"/>
        </w:rPr>
        <w:t xml:space="preserve">2026 г.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 w14:paraId="1D883691">
      <w:pPr>
        <w:pBdr/>
        <w:spacing/>
        <w:ind/>
        <w:rPr/>
      </w:pPr>
      <w:r/>
      <w:r/>
    </w:p>
    <w:p w14:paraId="639C151D">
      <w:pPr>
        <w:pBdr/>
        <w:spacing/>
        <w:ind/>
        <w:rPr/>
      </w:pPr>
      <w:r>
        <w:br w:type="page" w:clear="all"/>
      </w:r>
      <w:r/>
    </w:p>
    <w:p>
      <w:pPr>
        <w:pBdr/>
        <w:spacing w:after="12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Лабораторная работа № 5</w:t>
      </w:r>
    </w:p>
    <w:p>
      <w:pPr>
        <w:pStyle w:val="848"/>
        <w:keepNext w:val="true"/>
        <w:pBdr/>
        <w:spacing w:after="160" w:before="0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Управление исходным кодом и отслеживание метрик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Цель работы — настроить управление исходным кодом, автоматические проверки, сборку и сбор метрик качества для проекта справочника городского транспорта. Подготовлен работающий учебный срез на Go, PostgreSQL и React; результаты проверены локально и в GitHub Actions.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Репозиторий и границы реализации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Использован публичный репозиторий GitHub vasmaae/software-engineering. Go API читает три демонстрационных маршрута из PostgreSQL; React отображает каталог, поиск по номеру и фильтр транспорта. Данные вымышленные. Администрирование, связанные остановки и расписания остаются задачами последующих итераций.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Исходники API размещены в cmd/api и internal/catalog, интерфейс — в web, SQL — в db, контейнеры — в deploy. Файлы README.md, docs/contributing.md и docs/quality.md описывают запуск, правила Git и метрики. Предыдущие отчёты сохранены в reports. Зависимости фиксируются package-lock.json и go.sum; .env исключён из Git.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Правила фиксации изменений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Принят Conventional Commits: type(scope): описание. Типы feat, fix, docs, test, refactor, perf, style, build, ci, chore и revert показывают назначение изменения. Пример: feat(catalog): add SGT demo and quality pipeline. Один коммит содержит одно законченное изменение; связанные ID SGT указываются в сообщении или PR.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make setup подключает hook .githooks/commit-msg с commitlint. При проверке сообщение «bad message» отклонено: отсутствуют type и subject. Корректное сообщение принято. В CI отдельно проверяется весь диапазон новых коммитов, поэтому обход локального hook не обходит серверную проверку.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Ветвление и слияние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Выбран GitHub Flow: постоянная main и короткие ветки задач. Изменения ЛР5 выполнены в codex/sgt-15-lab5. После push открыт pull request № 1 с описанием результата, проверок и ссылкой на SGT-15. Отдельная develop для одного исполнителя не создавалась.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Защита main требует pull request и успешную актуальную проверку quality. Правило действует для администратора; force push и удаление main запрещены. Включены линейная история и требование завершить обсуждения перед слиянием. Одобрение второго участника не требуется, поскольку работу выполняет один студент. Это не заменяет независимое ревью.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PR № 1 объединён методом squash после успешного CI. Коммит слияния: 6dc403c242c0. Сообщение squash-коммита соответствует Conventional Commits. Первый служебный коммит создал main в пустом репозитории; все последующие изменения проходят через PR.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Релиз приложения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На проверенную версию main поставлен аннотированный тег v0.1.1. Push тега повторно запустил статический анализ, тесты, сбор метрик и сборку. Только после успешного job quality автоматически создан предварительный GitHub Release с архивом sgt-linux-amd64.tar.gz.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Архив содержит Linux-бинарник API для amd64, собранную статику React, SQL и документацию. Исходники автоматически доступны в GitHub Release. Версия v0.1.1 демонстрирует инфраструктуру ЛР5 и не означает завершение итогового v1.0, запланированного на 08.12.2026.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Доказательства выполнения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Репозиторий: https://github.com/vasmaae/software-engineering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Слияние: https://github.com/vasmaae/software-engineering/pull/1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Релиз: https://github.com/vasmaae/software-engineering/releases/tag/v0.1.1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Команды выпуска: git tag -a v0.1.1 -m "SGT lab 5 infrastructure preview"; git push origin v0.1.1. Опубликованные теги не передвигаются; следующая версия получает новый номер.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Пайплайн и результаты проверок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Workflow .github/workflows/ci.yml запускается при каждом push и pull request. Он поднимает отдельную PostgreSQL 18, устанавливает Go 1.27 и Node.js 24, проверяет коммиты и применяет начальную SQL-миграцию. Далее выполняются gofmt, go vet, ESLint и Prettier.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Модульные тесты Go проверяют входные параметры и запрещённые HTTP-методы. Интеграционные тесты вызывают HTTP-обработчики с реальной PostgreSQL: каталог, совмещённые фильтры, пустой ответ, литерал %, строка SQL-инъекции, доступность БД и отказ подключения. Тесты React проверяют загрузку, поиск, фильтр, пустые ответы, ошибки и отмену запроса.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Go-тесты запускаются с -count=1, race detector и отчётом покрытия. Кеш результатов отключён: состояние внешней PostgreSQL не входит в ключ кеша Go. В CI отсутствие TEST_DATABASE_URL считается ошибкой. Vitest формирует JSON и V8-покрытие; пороги строк и ветвлений React — 80%. После успешных проверок собираются API, React и архив; отчёты сохраняются в Actions на 90 дней.</w:t>
      </w:r>
    </w:p>
    <w:p>
      <w:pPr>
        <w:keepNext w:val="true"/>
        <w:pageBreakBefore w:val="fals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Проверка запуска и результат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Локально успешно выполнены линтеры, тесты, сборки Go и React и docker compose up --build -d. Через http://localhost:8080 доступны интерфейс и /api; health возвращает 204, каталог — три маршрута. Проверены совместный поиск и фильтр, а также отсутствие горизонтального переполнения при ширине 360 px. PostgreSQL не публикуется за пределы сети Compose; данные хранятся в томе.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Для повторного запуска требуется создать локальный .env из .env.example и задать пароль. Начальная транзакционная SQL-миграция автоматически применяется к новому тому; для существующей БД она запускается явно. Автоматический внешний деплой, являющийся опциональным пунктом задания, не включён.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Фактические метрики этапа SGT-15</w:t>
      </w:r>
    </w:p>
    <w:tbl>
      <w:tblPr>
        <w:tblW w:w="9355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7300"/>
        <w:gridCol w:w="2055"/>
      </w:tblGrid>
      <w:tr>
        <w:trPr>
          <w:cantSplit/>
          <w:tblHeader/>
        </w:trPr>
        <w:tc>
          <w:tcPr>
            <w:tcW w:w="7300" w:type="dxa"/>
            <w:vAlign w:val="center"/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Показатель</w:t>
            </w:r>
          </w:p>
        </w:tc>
        <w:tc>
          <w:tcPr>
            <w:tcW w:w="2055" w:type="dxa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Значение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Ошибки ESLint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Предупреждения ESLint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Покрытие операторов Go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85.7 %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Покрытие строк React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100 %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Покрытие ветвлений React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100 %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Успешные тесты приложения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17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Упавшие тесты приложения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</w:t>
            </w:r>
          </w:p>
        </w:tc>
      </w:tr>
      <w:tr>
        <w:trPr>
          <w:cantSplit/>
        </w:trPr>
        <w:tc>
          <w:tcPr>
            <w:tcW w:w="7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Время выполнения тестов</w:t>
            </w:r>
          </w:p>
        </w:tc>
        <w:tc>
          <w:tcPr>
            <w:tcW w:w="2055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1.179 с</w:t>
            </w:r>
          </w:p>
        </w:tc>
      </w:tr>
    </w:tbl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/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Восемь числовых полей покрывают пять видов показателей из задания: замечания линтера, покрытие кода, покрытие ветвлений, результаты тестов и время тестов. Go-покрытие относится к internal, React-покрытие — к App.jsx. Родительские Go-тесты не считаются повторно. Две отдельные проверки сборщика метрик в числа приложения не включены.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Время — сумма длительностей Go-пакетов и тестовых файлов React, без установки зависимостей и сборки. Отсутствующий отчёт вызывает ошибку сбора вместо подстановки нуля.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Замер, приведённый в таблице, выполнен 22.10.2026. Плановая дата инфраструктуры 03.10.2026 сохранена; задним числом измерения не создавались. Для SGT-14 и будущих этапов вымышленные значения не записывались. При их фактической сдаче используется тот же workflow.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Измеренная версия: 8c75137c623f; тег v0.1.1.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https://github.com/vasmaae/software-engineering/actions/runs/39684392913</w:t>
      </w:r>
    </w:p>
    <w:p>
      <w:pPr>
        <w:keepNext w:val="true"/>
        <w:pageBreakBefore w:val="true"/>
        <w:pBdr/>
        <w:spacing w:after="120" w:before="180" w:line="276" w:lineRule="auto"/>
        <w:ind/>
        <w:jc w:val="center"/>
        <w:rPr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Измерения по этапам и связь с YouTrack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Используется существующий проект SGT. Инфраструктура относится к SGT-15; демонстрационный каталог связан с SGT-3 и SGT-4. Завершение ЛР5 не закрывает отсутствующие функции справочника. Оценки, плановые даты и фактическое время других задач не изменялись.</w:t>
      </w:r>
    </w:p>
    <w:tbl>
      <w:tblPr>
        <w:tblW w:w="9355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1500"/>
        <w:gridCol w:w="2350"/>
        <w:gridCol w:w="5505"/>
      </w:tblGrid>
      <w:tr>
        <w:trPr>
          <w:cantSplit/>
          <w:tblHeader/>
        </w:trPr>
        <w:tc>
          <w:tcPr>
            <w:tcW w:w="1500" w:type="dxa"/>
            <w:vAlign w:val="center"/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Этап</w:t>
            </w:r>
          </w:p>
        </w:tc>
        <w:tc>
          <w:tcPr>
            <w:tcW w:w="2350" w:type="dxa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Плановая сдача</w:t>
            </w:r>
          </w:p>
        </w:tc>
        <w:tc>
          <w:tcPr>
            <w:tcW w:w="5505" w:type="dxa"/>
            <w:vAlign w:val="center"/>
            <w:shd w:fill="EDEDED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  <w:b/>
              </w:rPr>
              <w:t>Результат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SGT-14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26.09.2026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Прототип интерфейса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SGT-15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03.10.2026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Инфраструктура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SGT-16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24.10.2026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Данные и администрирование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SGT-17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14.11.2026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Публичный справочник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SGT-18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28.11.2026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Расписания и адаптация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SGT-19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05.12.2026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Итоговое тестирование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SGT-20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24"/>
                <w:color w:val="000000"/>
              </w:rPr>
              <w:t>08.12.2026</w:t>
            </w:r>
          </w:p>
        </w:tc>
        <w:tc>
          <w:tcPr>
            <w:tcW w:w="550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24"/>
                <w:color w:val="000000"/>
              </w:rPr>
              <w:t>Релиз и итоговая сдача</w:t>
            </w:r>
          </w:p>
        </w:tc>
      </w:tr>
    </w:tbl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/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CI измеряет качество при каждом изменении. Для фиксации завершённого этапа отправляется тег stage/SGT-15 либо запускается CI вручную с полем stage. JSON содержит ID этапа, фактическое время, SHA и ссылку на запуск. Тег сохраняет точную версию кода; снимок и исходные отчёты сохраняются в docs/measurements/SGT-15 через PR.</w:t>
      </w:r>
    </w:p>
    <w:p>
      <w:pPr>
        <w:pBdr/>
        <w:spacing w:after="120" w:line="276" w:lineRule="auto"/>
        <w:ind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  <w:szCs w:val="28"/>
        </w:rPr>
        <w:t xml:space="preserve">Настроен воспроизводимый процесс от коммита и PR до проверенной сборки и предварительного релиза. Метрики собираются автоматически и привязываются к этапам существующего плана YouTrack. Оставшиеся функциональные задачи и сроки их фактической сдачи продолжают отслеживаться в YouTrack.</w:t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BC219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2026-10-08T08:16:27Z</dcterms:modified>
</cp:coreProperties>
</file>