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B98C281"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МИНИСТЕРСТВО ОБРАЗОВАНИЯ И НАУКИ РОССИЙСКОЙ ФЕДЕРАЦИИ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7D8D4B5B"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br/>
        <w:t xml:space="preserve">высшего профессионального образования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48393A1C"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«УЛЬЯНОВСКИЙ ГОСУДАРСТВЕННЫЙ ТЕХНИЧЕСКИЙ УНИВЕРСИТЕТ»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6C313A6"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tbl>
      <w:tblPr>
        <w:tblW w:w="9355" w:type="dxa"/>
        <w:tblBorders/>
        <w:tblLayout w:type="fixed"/>
        <w:tblLook w:val="04A0" w:firstRow="1" w:lastRow="0" w:firstColumn="1" w:lastColumn="0" w:noHBand="0" w:noVBand="1"/>
      </w:tblPr>
      <w:tblGrid>
        <w:gridCol w:w="1696"/>
        <w:gridCol w:w="7659"/>
      </w:tblGrid>
      <w:tr>
        <w:trPr/>
        <w:tc>
          <w:tcPr>
            <w:tcBorders/>
            <w:tcW w:w="1696" w:type="dxa"/>
          </w:tcPr>
          <w:p w14:paraId="16F0734B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Факультет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bottom w:val="single" w:color="000000" w:sz="4" w:space="0"/>
            </w:tcBorders>
            <w:tcW w:w="7659" w:type="dxa"/>
          </w:tcPr>
          <w:p w14:paraId="2965BDFE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Информационных Систем и Технологий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1696" w:type="dxa"/>
          </w:tcPr>
          <w:p w14:paraId="3B165E73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Кафедра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7659" w:type="dxa"/>
          </w:tcPr>
          <w:p w14:paraId="60871065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6"/>
                <w:szCs w:val="26"/>
              </w:rPr>
              <w:t xml:space="preserve">«Информационные системы»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1696" w:type="dxa"/>
          </w:tcPr>
          <w:p w14:paraId="05071A99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Дисциплина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7659" w:type="dxa"/>
          </w:tcPr>
          <w:p w14:paraId="5BBDD1C6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6"/>
                <w:szCs w:val="26"/>
              </w:rPr>
              <w:t xml:space="preserve">«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6"/>
                <w:szCs w:val="26"/>
              </w:rPr>
              <w:t xml:space="preserve">Конструирование программного обеспечения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6"/>
                <w:szCs w:val="26"/>
              </w:rPr>
              <w:t xml:space="preserve">»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</w:tbl>
    <w:p w14:paraId="040506C4">
      <w:p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3F845CC0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ОТЧЁТ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</w:p>
    <w:p w14:paraId="6053E3B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по лабораторной работе № 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4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</w:p>
    <w:p w14:paraId="034305B9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Конструирование программного обеспечения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</w:p>
    <w:p w14:paraId="099AA7D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</w:p>
    <w:tbl>
      <w:tblPr>
        <w:tblW w:w="9355" w:type="dxa"/>
        <w:tblBorders/>
        <w:tblLayout w:type="fixed"/>
        <w:tblLook w:val="04A0" w:firstRow="1" w:lastRow="0" w:firstColumn="1" w:lastColumn="0" w:noHBand="0" w:noVBand="1"/>
      </w:tblPr>
      <w:tblGrid>
        <w:gridCol w:w="2407"/>
        <w:gridCol w:w="6948"/>
      </w:tblGrid>
      <w:tr>
        <w:trPr/>
        <w:tc>
          <w:tcPr>
            <w:tcBorders/>
            <w:tcW w:w="2407" w:type="dxa"/>
          </w:tcPr>
          <w:p w14:paraId="2DEC5F49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Вариант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bottom w:val="single" w:color="000000" w:sz="4" w:space="0"/>
            </w:tcBorders>
            <w:tcW w:w="6948" w:type="dxa"/>
          </w:tcPr>
          <w:p w14:paraId="6F1B705F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44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</w:tr>
    </w:tbl>
    <w:p w14:paraId="08AA851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</w:p>
    <w:tbl>
      <w:tblPr>
        <w:tblW w:w="9355" w:type="dxa"/>
        <w:tblBorders/>
        <w:tblLayout w:type="fixed"/>
        <w:tblLook w:val="04A0" w:firstRow="1" w:lastRow="0" w:firstColumn="1" w:lastColumn="0" w:noHBand="0" w:noVBand="1"/>
      </w:tblPr>
      <w:tblGrid>
        <w:gridCol w:w="2407"/>
        <w:gridCol w:w="1986"/>
        <w:gridCol w:w="4962"/>
      </w:tblGrid>
      <w:tr>
        <w:trPr/>
        <w:tc>
          <w:tcPr>
            <w:tcBorders/>
            <w:tcW w:w="2407" w:type="dxa"/>
          </w:tcPr>
          <w:p w14:paraId="5BAF4645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Выполнил студент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bottom w:val="single" w:color="000000" w:sz="4" w:space="0"/>
            </w:tcBorders>
            <w:tcW w:w="1986" w:type="dxa"/>
          </w:tcPr>
          <w:p w14:paraId="53D7A73E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bottom w:val="single" w:color="000000" w:sz="4" w:space="0"/>
            </w:tcBorders>
            <w:tcW w:w="4962" w:type="dxa"/>
          </w:tcPr>
          <w:p w14:paraId="7C46FFF6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Гуторов И. А.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2407" w:type="dxa"/>
          </w:tcPr>
          <w:p w14:paraId="01CE3697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right w:val="single" w:color="ffffff" w:sz="48" w:space="0"/>
            </w:tcBorders>
            <w:tcW w:w="1986" w:type="dxa"/>
          </w:tcPr>
          <w:p w14:paraId="7A0027B8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vertAlign w:val="superscript"/>
              </w:rPr>
              <w:t xml:space="preserve">подпись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r>
          </w:p>
        </w:tc>
        <w:tc>
          <w:tcPr>
            <w:tcBorders>
              <w:top w:val="single" w:color="000000" w:sz="4" w:space="0"/>
              <w:left w:val="single" w:color="ffffff" w:sz="48" w:space="0"/>
            </w:tcBorders>
            <w:tcW w:w="4962" w:type="dxa"/>
          </w:tcPr>
          <w:p w14:paraId="4B0A8A40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vertAlign w:val="superscript"/>
              </w:rPr>
              <w:t xml:space="preserve">инициалы, фамилия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r>
          </w:p>
        </w:tc>
      </w:tr>
    </w:tbl>
    <w:p w14:paraId="6F6D4C6A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tbl>
      <w:tblPr>
        <w:tblW w:w="9354" w:type="dxa"/>
        <w:tblBorders/>
        <w:tblLayout w:type="fixed"/>
        <w:tblLook w:val="04A0" w:firstRow="1" w:lastRow="0" w:firstColumn="1" w:lastColumn="0" w:noHBand="0" w:noVBand="1"/>
      </w:tblPr>
      <w:tblGrid>
        <w:gridCol w:w="850"/>
        <w:gridCol w:w="988"/>
        <w:gridCol w:w="1563"/>
        <w:gridCol w:w="1276"/>
        <w:gridCol w:w="1129"/>
        <w:gridCol w:w="3548"/>
      </w:tblGrid>
      <w:tr>
        <w:trPr/>
        <w:tc>
          <w:tcPr>
            <w:tcBorders/>
            <w:tcW w:w="850" w:type="dxa"/>
          </w:tcPr>
          <w:p w14:paraId="7EA3F717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Курс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gridSpan w:val="3"/>
            <w:tcBorders>
              <w:bottom w:val="single" w:color="000000" w:sz="4" w:space="0"/>
            </w:tcBorders>
            <w:tcW w:w="3827" w:type="dxa"/>
          </w:tcPr>
          <w:p w14:paraId="39A43400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Четвёртый
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/>
            <w:tcW w:w="1129" w:type="dxa"/>
          </w:tcPr>
          <w:p w14:paraId="50EB5E3A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Группа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bottom w:val="single" w:color="000000" w:sz="4" w:space="0"/>
            </w:tcBorders>
            <w:tcW w:w="3548" w:type="dxa"/>
          </w:tcPr>
          <w:p w14:paraId="2A6227E6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ПИбд-41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gridSpan w:val="3"/>
            <w:tcBorders/>
            <w:tcW w:w="3401" w:type="dxa"/>
          </w:tcPr>
          <w:p w14:paraId="1FFF6BAF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Направление/специальность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gridSpan w:val="3"/>
            <w:tcBorders>
              <w:left w:val="none" w:color="000000" w:sz="4" w:space="0"/>
              <w:bottom w:val="single" w:color="000000" w:sz="4" w:space="0"/>
            </w:tcBorders>
            <w:tcW w:w="5953" w:type="dxa"/>
          </w:tcPr>
          <w:p w14:paraId="6AC967C0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Программная инженерия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gridSpan w:val="2"/>
            <w:tcBorders/>
            <w:tcW w:w="1838" w:type="dxa"/>
          </w:tcPr>
          <w:p w14:paraId="2E79DE10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Руководитель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gridSpan w:val="4"/>
            <w:tcBorders>
              <w:bottom w:val="single" w:color="000000" w:sz="4" w:space="0"/>
            </w:tcBorders>
            <w:tcW w:w="7516" w:type="dxa"/>
          </w:tcPr>
          <w:p w14:paraId="66C21EE5">
            <w:pPr>
              <w:pStyle w:val="829"/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к. т. н., доцент, Романов Антон Алексеевич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gridSpan w:val="2"/>
            <w:tcBorders/>
            <w:tcW w:w="1838" w:type="dxa"/>
          </w:tcPr>
          <w:p w14:paraId="1F6B709C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gridSpan w:val="4"/>
            <w:tcBorders>
              <w:top w:val="single" w:color="000000" w:sz="4" w:space="0"/>
            </w:tcBorders>
            <w:tcW w:w="7516" w:type="dxa"/>
          </w:tcPr>
          <w:p w14:paraId="03609B88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vertAlign w:val="superscript"/>
              </w:rPr>
              <w:t xml:space="preserve">должность, учёная степень, учёное звание, фамилия, имя, отчество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r>
          </w:p>
        </w:tc>
      </w:tr>
    </w:tbl>
    <w:p w14:paraId="3C3D95CE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4596F1F5"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 w14:paraId="7300BE15"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 w14:paraId="1538E047"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 w14:paraId="20E5318D"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 w14:paraId="37254E05">
      <w:pPr>
        <w:pBdr/>
        <w:spacing w:after="0" w:line="240" w:lineRule="auto"/>
        <w:ind w:firstLine="708" w:left="4248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Дата сдачи: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05D81D24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  <w:t xml:space="preserve">«___» _____________ 20__ г.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2DDA7A3E">
      <w:pPr>
        <w:pBdr/>
        <w:spacing w:after="0" w:line="240" w:lineRule="auto"/>
        <w:ind w:left="5669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1522E97A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  <w:t xml:space="preserve">Дата защиты: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04C6FF78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  <w:t xml:space="preserve">«___» _____________ 20__ г.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39041F51">
      <w:pPr>
        <w:pBdr/>
        <w:spacing w:after="0" w:line="240" w:lineRule="auto"/>
        <w:ind w:left="5669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1912F549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  <w:t xml:space="preserve">Оценка: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52E6A3E5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  <w:t xml:space="preserve">________________________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23106DD1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1C0585DB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5448A24B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61AAE918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6326ADAD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7677D0E9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42E518AF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76130C85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25FCCD22"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Ульяновск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70EE7246"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2026 г.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1D883691">
      <w:pPr>
        <w:pBdr/>
        <w:spacing/>
        <w:ind/>
        <w:rPr/>
      </w:pPr>
      <w:r/>
      <w:r/>
    </w:p>
    <w:p w14:paraId="639C151D">
      <w:pPr>
        <w:pBdr/>
        <w:spacing/>
        <w:ind/>
        <w:rPr/>
      </w:pPr>
      <w:r>
        <w:br w:type="page" w:clear="all"/>
      </w:r>
      <w:r/>
    </w:p>
    <w:p>
      <w:pPr>
        <w:pBdr/>
        <w:spacing w:after="12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Лабораторная работа № 4</w:t>
      </w:r>
      <w:r>
        <w:rPr>
          <w:sz w:val="28"/>
          <w:szCs w:val="28"/>
        </w:rPr>
      </w:r>
    </w:p>
    <w:p>
      <w:pPr>
        <w:pStyle w:val="848"/>
        <w:keepNext w:val="true"/>
        <w:pBdr/>
        <w:spacing w:after="160" w:before="0"/>
        <w:ind/>
        <w:jc w:val="center"/>
        <w:rPr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Проектирование справочника маршрутов городского транспорта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Цель работы — спроектировать web-приложение справочника маршрутов городского транспорта одного города. Диаграммы PlantUML показывают планируемые функции, компоненты и развёртывание системы на React, Go и PostgreSQL.</w:t>
      </w:r>
      <w:r>
        <w:rPr>
          <w:sz w:val="28"/>
          <w:szCs w:val="28"/>
        </w:rPr>
      </w:r>
    </w:p>
    <w:p>
      <w:pPr>
        <w:keepNext w:val="true"/>
        <w:pageBreakBefore w:val="false"/>
        <w:pBdr/>
        <w:spacing w:after="120" w:before="18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Диаграмма вариантов использования</w:t>
      </w:r>
      <w:r>
        <w:rPr>
          <w:sz w:val="28"/>
          <w:szCs w:val="28"/>
        </w:rPr>
      </w:r>
    </w:p>
    <w:p w14:paraId="2290E569">
      <w:pPr>
        <w:keepNext w:val="true"/>
        <w:pBdr/>
        <w:spacing w:after="60" w:before="60"/>
        <w:ind/>
        <w:jc w:val="center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45791" cy="623833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02866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845791" cy="62383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02.82pt;height:491.2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>
      <w:pPr>
        <w:pBdr/>
        <w:spacing w:after="16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Рисунок 1 — Варианты использования справочника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Посетитель просматривает маршруты, остановки и расписания, использует поиск и фильтрацию. Администратор также управляет справочными данными после входа. Права на изменения проверяются сервером.</w:t>
      </w:r>
      <w:r>
        <w:rPr>
          <w:sz w:val="28"/>
          <w:szCs w:val="28"/>
        </w:rPr>
      </w:r>
    </w:p>
    <w:p>
      <w:pPr>
        <w:keepNext w:val="true"/>
        <w:pageBreakBefore w:val="true"/>
        <w:pBdr/>
        <w:spacing w:after="120" w:before="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Диаграмма компонентов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Диаграмма показывает три части системы и связи между ними: интерфейс React, сервер Go и базу PostgreSQL. Публичные страницы и формы администратора используют общий HTTP-клиент.</w:t>
      </w:r>
      <w:r>
        <w:rPr>
          <w:sz w:val="28"/>
          <w:szCs w:val="28"/>
        </w:rPr>
      </w:r>
    </w:p>
    <w:p>
      <w:pPr>
        <w:keepNext w:val="true"/>
        <w:pBdr/>
        <w:spacing w:after="60" w:before="6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7181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97257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3718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86.7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16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Рисунок 2 — Компоненты приложения и их связи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React отправляет запросы HTTP/JSON к публичному API для чтения и к API администрирования для изменения данных. Серверн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ый компонент аутентификации проверяет доступ к изменяющим операциям. Сервис справочника обрабатывает правила предметной области, а хранилище выполняет параметризованные SQL-запросы к PostgreSQL. В базе связаны маршруты, направления, остановки и расписания.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Разделение интерфейса и серверной логики позволяет повторно использовать данные в разных страницах. Проверка прав размещена на сервере: скрытая в React форма сама по себе не защищает API.</w:t>
      </w:r>
      <w:r>
        <w:rPr>
          <w:sz w:val="28"/>
          <w:szCs w:val="28"/>
        </w:rPr>
      </w:r>
    </w:p>
    <w:p>
      <w:pPr>
        <w:keepNext w:val="true"/>
        <w:pageBreakBefore w:val="true"/>
        <w:pBdr/>
        <w:spacing w:after="120" w:before="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Диаграмма развёртывания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Для демонстрационного запуска предусмотрен один сервер и устройство пользователя. Контейнеры web, api и db запускаются Docker Compose в общей внутренней сети.</w:t>
      </w:r>
      <w:r>
        <w:rPr>
          <w:sz w:val="28"/>
          <w:szCs w:val="28"/>
        </w:rPr>
      </w:r>
    </w:p>
    <w:p>
      <w:pPr>
        <w:keepNext w:val="true"/>
        <w:pBdr/>
        <w:spacing w:after="60" w:before="6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05923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5587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60592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477.1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16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Рисунок 3 — Размещение компонентов на узлах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Браузер обращается к web-серверу по единому адресу HTTPS. We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b-сервер отдаёт собранные HTML, CSS и JavaScript файлы React и направляет запросы /api/* к Go API. Сервер Go обращается к PostgreSQL по внутренней сети. База данных не публикуется напрямую для пользователя; параметры подключения передаются через окружение.</w:t>
      </w:r>
      <w:r>
        <w:rPr>
          <w:sz w:val="28"/>
          <w:szCs w:val="28"/>
        </w:rPr>
      </w:r>
    </w:p>
    <w:p>
      <w:pPr>
        <w:keepNext w:val="true"/>
        <w:pageBreakBefore w:val="false"/>
        <w:pBdr/>
        <w:spacing w:after="120" w:before="18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Вывод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Построены три диаграммы проектируемого справочника городского транспорта. Диаграмма вариантов использования фиксирует функции п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осетителя и администратора; диаграмма компонентов показывает распределение ответственности между React, Go и PostgreSQL; диаграмма развёртывания задаёт способ демонстрационного запуска и сетевые связи. Исходные тексты диаграмм сохранены в формате PlantUML.</w:t>
      </w:r>
      <w:r>
        <w:rPr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BC219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2026-10-08T08:16:27Z</dcterms:modified>
</cp:coreProperties>
</file>