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B98C281">
      <w:pPr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МИНИСТЕРСТВО ОБРАЗОВАНИЯ И НАУКИ РОССИЙСКОЙ ФЕДЕРАЦИИ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7D8D4B5B">
      <w:pPr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br/>
        <w:t xml:space="preserve">высшего профессионального образования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48393A1C">
      <w:pPr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«УЛЬЯНОВСКИЙ ГОСУДАРСТВЕННЫЙ ТЕХНИЧЕСКИЙ УНИВЕРСИТЕТ»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6C313A6">
      <w:pPr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tbl>
      <w:tblPr>
        <w:tblW w:w="9355" w:type="dxa"/>
        <w:tblBorders/>
        <w:tblLayout w:type="fixed"/>
        <w:tblLook w:val="04A0" w:firstRow="1" w:lastRow="0" w:firstColumn="1" w:lastColumn="0" w:noHBand="0" w:noVBand="1"/>
      </w:tblPr>
      <w:tblGrid>
        <w:gridCol w:w="1696"/>
        <w:gridCol w:w="7659"/>
      </w:tblGrid>
      <w:tr>
        <w:trPr/>
        <w:tc>
          <w:tcPr>
            <w:tcBorders/>
            <w:tcW w:w="1696" w:type="dxa"/>
          </w:tcPr>
          <w:p w14:paraId="16F0734B">
            <w:pPr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Факультет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bottom w:val="single" w:color="000000" w:sz="4" w:space="0"/>
            </w:tcBorders>
            <w:tcW w:w="7659" w:type="dxa"/>
          </w:tcPr>
          <w:p w14:paraId="2965BDFE">
            <w:pPr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Информационных Систем и Технологий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1696" w:type="dxa"/>
          </w:tcPr>
          <w:p w14:paraId="3B165E73">
            <w:pPr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Кафедра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7659" w:type="dxa"/>
          </w:tcPr>
          <w:p w14:paraId="60871065">
            <w:pPr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6"/>
                <w:szCs w:val="26"/>
              </w:rPr>
              <w:t xml:space="preserve">«Информационные системы»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1696" w:type="dxa"/>
          </w:tcPr>
          <w:p w14:paraId="05071A99">
            <w:pPr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Дисциплина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7659" w:type="dxa"/>
          </w:tcPr>
          <w:p w14:paraId="5BBDD1C6">
            <w:pPr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6"/>
                <w:szCs w:val="26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6"/>
                <w:szCs w:val="26"/>
              </w:rPr>
              <w:t xml:space="preserve">Конструирование программного обеспечения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6"/>
                <w:szCs w:val="26"/>
              </w:rPr>
              <w:t xml:space="preserve">»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</w:tbl>
    <w:p w14:paraId="040506C4">
      <w:pPr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3F845CC0">
      <w:pPr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ОТЧЁТ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</w:p>
    <w:p w14:paraId="6053E3B7">
      <w:pPr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по лабораторной работе № 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5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</w:p>
    <w:p w14:paraId="034305B9">
      <w:pPr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Конструирование программного обеспечения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</w:p>
    <w:p w14:paraId="099AA7D5">
      <w:pPr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</w:p>
    <w:tbl>
      <w:tblPr>
        <w:tblW w:w="9355" w:type="dxa"/>
        <w:tblBorders/>
        <w:tblLayout w:type="fixed"/>
        <w:tblLook w:val="04A0" w:firstRow="1" w:lastRow="0" w:firstColumn="1" w:lastColumn="0" w:noHBand="0" w:noVBand="1"/>
      </w:tblPr>
      <w:tblGrid>
        <w:gridCol w:w="2407"/>
        <w:gridCol w:w="6948"/>
      </w:tblGrid>
      <w:tr>
        <w:trPr/>
        <w:tc>
          <w:tcPr>
            <w:tcBorders/>
            <w:tcW w:w="2407" w:type="dxa"/>
          </w:tcPr>
          <w:p w14:paraId="2DEC5F49">
            <w:pPr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Вариант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bottom w:val="single" w:color="000000" w:sz="4" w:space="0"/>
            </w:tcBorders>
            <w:tcW w:w="6948" w:type="dxa"/>
          </w:tcPr>
          <w:p w14:paraId="6F1B705F">
            <w:pPr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44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</w:tr>
    </w:tbl>
    <w:p w14:paraId="08AA8515">
      <w:pPr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</w:p>
    <w:tbl>
      <w:tblPr>
        <w:tblW w:w="9355" w:type="dxa"/>
        <w:tblBorders/>
        <w:tblLayout w:type="fixed"/>
        <w:tblLook w:val="04A0" w:firstRow="1" w:lastRow="0" w:firstColumn="1" w:lastColumn="0" w:noHBand="0" w:noVBand="1"/>
      </w:tblPr>
      <w:tblGrid>
        <w:gridCol w:w="2407"/>
        <w:gridCol w:w="1986"/>
        <w:gridCol w:w="4962"/>
      </w:tblGrid>
      <w:tr>
        <w:trPr/>
        <w:tc>
          <w:tcPr>
            <w:tcBorders/>
            <w:tcW w:w="2407" w:type="dxa"/>
          </w:tcPr>
          <w:p w14:paraId="5BAF4645">
            <w:pPr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Выполнил студент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bottom w:val="single" w:color="000000" w:sz="4" w:space="0"/>
            </w:tcBorders>
            <w:tcW w:w="1986" w:type="dxa"/>
          </w:tcPr>
          <w:p w14:paraId="53D7A73E">
            <w:pPr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bottom w:val="single" w:color="000000" w:sz="4" w:space="0"/>
            </w:tcBorders>
            <w:tcW w:w="4962" w:type="dxa"/>
          </w:tcPr>
          <w:p w14:paraId="7C46FFF6">
            <w:pPr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Гуторов И. А.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2407" w:type="dxa"/>
          </w:tcPr>
          <w:p w14:paraId="01CE3697">
            <w:pPr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right w:val="single" w:color="ffffff" w:sz="48" w:space="0"/>
            </w:tcBorders>
            <w:tcW w:w="1986" w:type="dxa"/>
          </w:tcPr>
          <w:p w14:paraId="7A0027B8">
            <w:pPr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vertAlign w:val="superscript"/>
              </w:rPr>
              <w:t xml:space="preserve">подпись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r>
          </w:p>
        </w:tc>
        <w:tc>
          <w:tcPr>
            <w:tcBorders>
              <w:top w:val="single" w:color="000000" w:sz="4" w:space="0"/>
              <w:left w:val="single" w:color="ffffff" w:sz="48" w:space="0"/>
            </w:tcBorders>
            <w:tcW w:w="4962" w:type="dxa"/>
          </w:tcPr>
          <w:p w14:paraId="4B0A8A40">
            <w:pPr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vertAlign w:val="superscript"/>
              </w:rPr>
              <w:t xml:space="preserve">инициалы, фамилия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r>
          </w:p>
        </w:tc>
      </w:tr>
    </w:tbl>
    <w:p w14:paraId="6F6D4C6A">
      <w:pPr>
        <w:spacing w:after="0" w:line="240" w:lineRule="auto"/>
        <w:ind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tbl>
      <w:tblPr>
        <w:tblW w:w="9354" w:type="dxa"/>
        <w:tblBorders/>
        <w:tblLayout w:type="fixed"/>
        <w:tblLook w:val="04A0" w:firstRow="1" w:lastRow="0" w:firstColumn="1" w:lastColumn="0" w:noHBand="0" w:noVBand="1"/>
      </w:tblPr>
      <w:tblGrid>
        <w:gridCol w:w="850"/>
        <w:gridCol w:w="988"/>
        <w:gridCol w:w="1563"/>
        <w:gridCol w:w="1276"/>
        <w:gridCol w:w="1129"/>
        <w:gridCol w:w="3548"/>
      </w:tblGrid>
      <w:tr>
        <w:trPr/>
        <w:tc>
          <w:tcPr>
            <w:tcBorders/>
            <w:tcW w:w="850" w:type="dxa"/>
          </w:tcPr>
          <w:p w14:paraId="7EA3F717">
            <w:pPr>
              <w:spacing w:after="0" w:line="240" w:lineRule="auto"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Курс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gridSpan w:val="3"/>
            <w:tcBorders>
              <w:bottom w:val="single" w:color="000000" w:sz="4" w:space="0"/>
            </w:tcBorders>
            <w:tcW w:w="3827" w:type="dxa"/>
          </w:tcPr>
          <w:p w14:paraId="39A43400">
            <w:pPr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Четвёртый
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/>
            <w:tcW w:w="1129" w:type="dxa"/>
          </w:tcPr>
          <w:p w14:paraId="50EB5E3A">
            <w:pPr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Группа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bottom w:val="single" w:color="000000" w:sz="4" w:space="0"/>
            </w:tcBorders>
            <w:tcW w:w="3548" w:type="dxa"/>
          </w:tcPr>
          <w:p w14:paraId="2A6227E6">
            <w:pPr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ПИбд-41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gridSpan w:val="3"/>
            <w:tcBorders/>
            <w:tcW w:w="3401" w:type="dxa"/>
          </w:tcPr>
          <w:p w14:paraId="1FFF6BAF">
            <w:pPr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Направление/специальность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gridSpan w:val="3"/>
            <w:tcBorders>
              <w:left w:val="none" w:color="000000" w:sz="4" w:space="0"/>
              <w:bottom w:val="single" w:color="000000" w:sz="4" w:space="0"/>
            </w:tcBorders>
            <w:tcW w:w="5953" w:type="dxa"/>
          </w:tcPr>
          <w:p w14:paraId="6AC967C0">
            <w:pPr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Программная инженерия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gridSpan w:val="2"/>
            <w:tcBorders/>
            <w:tcW w:w="1838" w:type="dxa"/>
          </w:tcPr>
          <w:p w14:paraId="2E79DE10">
            <w:pPr>
              <w:spacing w:after="0" w:line="240" w:lineRule="auto"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Руководитель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gridSpan w:val="4"/>
            <w:tcBorders>
              <w:bottom w:val="single" w:color="000000" w:sz="4" w:space="0"/>
            </w:tcBorders>
            <w:tcW w:w="7516" w:type="dxa"/>
          </w:tcPr>
          <w:p w14:paraId="66C21EE5">
            <w:pPr>
              <w:pStyle w:val="829"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к. т. н., доцент, Романов Антон Алексеевич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gridSpan w:val="2"/>
            <w:tcBorders/>
            <w:tcW w:w="1838" w:type="dxa"/>
          </w:tcPr>
          <w:p w14:paraId="1F6B709C">
            <w:pPr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gridSpan w:val="4"/>
            <w:tcBorders>
              <w:top w:val="single" w:color="000000" w:sz="4" w:space="0"/>
            </w:tcBorders>
            <w:tcW w:w="7516" w:type="dxa"/>
          </w:tcPr>
          <w:p w14:paraId="03609B88">
            <w:pPr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vertAlign w:val="superscript"/>
              </w:rPr>
              <w:t xml:space="preserve">должность, учёная степень, учёное звание, фамилия, имя, отчество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r>
          </w:p>
        </w:tc>
      </w:tr>
    </w:tbl>
    <w:p w14:paraId="3C3D95CE">
      <w:pPr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4596F1F5">
      <w:pPr>
        <w:spacing w:after="0" w:line="240" w:lineRule="auto"/>
        <w:ind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 w14:paraId="7300BE15">
      <w:pPr>
        <w:spacing w:after="0" w:line="240" w:lineRule="auto"/>
        <w:ind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 w14:paraId="1538E047">
      <w:pPr>
        <w:spacing w:after="0" w:line="240" w:lineRule="auto"/>
        <w:ind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 w14:paraId="20E5318D">
      <w:pPr>
        <w:spacing w:after="0" w:line="240" w:lineRule="auto"/>
        <w:ind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 w14:paraId="37254E05">
      <w:pPr>
        <w:spacing w:after="0" w:line="240" w:lineRule="auto"/>
        <w:ind w:firstLine="708" w:left="4248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Дата сдачи: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05D81D24">
      <w:pPr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  <w:t xml:space="preserve">«___» _____________ 20__ г.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2DDA7A3E">
      <w:pPr>
        <w:spacing w:after="0" w:line="240" w:lineRule="auto"/>
        <w:ind w:left="5669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1522E97A">
      <w:pPr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  <w:t xml:space="preserve">Дата защиты: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04C6FF78">
      <w:pPr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  <w:t xml:space="preserve">«___» _____________ 20__ г.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39041F51">
      <w:pPr>
        <w:spacing w:after="0" w:line="240" w:lineRule="auto"/>
        <w:ind w:left="5669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1912F549">
      <w:pPr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  <w:t xml:space="preserve">Оценка: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52E6A3E5">
      <w:pPr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  <w:t xml:space="preserve">________________________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23106DD1">
      <w:pPr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1C0585DB">
      <w:pPr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5448A24B">
      <w:pPr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61AAE918">
      <w:pPr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6326ADAD">
      <w:pPr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7677D0E9">
      <w:pPr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42E518AF">
      <w:pPr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76130C85">
      <w:pPr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25FCCD22">
      <w:pPr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Ульяновск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70EE7246">
      <w:pPr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2026 г.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1D883691">
      <w:pPr>
        <w:spacing/>
        <w:ind/>
        <w:rPr/>
      </w:pPr>
      <w:r/>
      <w:r/>
    </w:p>
    <w:p w14:paraId="639C151D">
      <w:pPr>
        <w:spacing/>
        <w:ind/>
        <w:rPr/>
      </w:pPr>
      <w:r>
        <w:br w:type="page" w:clear="all"/>
      </w:r>
      <w:r/>
    </w:p>
    <w:p>
      <w:pPr>
        <w:spacing w:after="12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Лабораторная работа № 5</w:t>
      </w:r>
      <w:r>
        <w:rPr>
          <w:sz w:val="28"/>
          <w:szCs w:val="28"/>
        </w:rPr>
      </w:r>
    </w:p>
    <w:p>
      <w:pPr>
        <w:pStyle w:val="848"/>
        <w:keepNext w:val="true"/>
        <w:spacing w:after="160" w:before="0"/>
        <w:ind/>
        <w:jc w:val="center"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Управление исходным кодом и отслеживание метрик</w:t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Цель рабо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ты — настроить управление исходным кодом, автоматические проверки, сборку и сбор метрик качества для проекта справочника городского транспорта. Подготовлен работающий учебный срез на Go, PostgreSQL и React; результаты проверены локально и в GitHub Actions.</w:t>
      </w:r>
      <w:r>
        <w:rPr>
          <w:sz w:val="28"/>
          <w:szCs w:val="28"/>
        </w:rPr>
      </w:r>
    </w:p>
    <w:p>
      <w:pPr>
        <w:keepNext w:val="true"/>
        <w:pageBreakBefore w:val="false"/>
        <w:spacing w:after="120" w:before="18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Репозиторий и границы реализации</w:t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Использован публичный репозиторий GitHub vasmaae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/software-engineering. Go API читает три демонстрационных маршрута из PostgreSQL; React отображает каталог, поиск по номеру и фильтр транспорта. Данные вымышленные. Администрирование, связанные остановки и расписания остаются задачами последующих итераций.</w:t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Исходники API размещены в cmd/api и internal/catalog, интерфе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йс — в web, SQL — в db, контейнеры — в deploy. Файлы README.md, docs/contributing.md и docs/quality.md описывают запуск, правила Git и метрики. Предыдущие отчёты сохранены в reports. Зависимости фиксируются package-lock.json и go.sum; .env исключён из Git.</w:t>
      </w:r>
      <w:r>
        <w:rPr>
          <w:sz w:val="28"/>
          <w:szCs w:val="28"/>
        </w:rPr>
      </w:r>
    </w:p>
    <w:p>
      <w:pPr>
        <w:keepNext w:val="true"/>
        <w:pageBreakBefore w:val="false"/>
        <w:spacing w:after="120" w:before="18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Фиксация изменений</w:t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Принят Conventional Commits 1.0.0: type(scope): описание. Область scope не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обязательна. Типы: feat, fix, docs, test, refactor, perf, style, build, ci, chore, revert. Заголовок — до 100 символов; тип и начало английского описания пишутся строчными буквами, точка в конце не ставится. Один коммит содержит одно законченное изменение.</w:t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Пример: «ci(branches): enforce task branch and PR conventions (SGT-15)». feat обозначает но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вую функцию, fix — исправление, docs — документацию, ci — изменение пайплайна. Несовместимое API отмечается ! после типа или области либо footer «BREAKING CHANGE: описание». Тело отделяется пустой строкой; строки тела и footer — до 100 символов, кроме URL.</w:t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commitlint.config.js под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ключает config-conventional. make setup подключает commit-msg hook; CI проверяет все новые коммиты через scripts/check-commits.sh. Сообщение «bad message» отклонено, корректное сообщение принято. Протокол: docs/measurements/SGT-15/commitlint-rejection.txt.</w:t>
      </w:r>
      <w:r>
        <w:rPr>
          <w:sz w:val="28"/>
          <w:szCs w:val="28"/>
        </w:rPr>
      </w:r>
    </w:p>
    <w:p>
      <w:pPr>
        <w:keepNext w:val="true"/>
        <w:pageBreakBefore w:val="true"/>
        <w:spacing w:after="120" w:before="18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Ветвление и имена веток</w:t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Реализован GitHub Flow: постоянная 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main и короткие ветки задач от актуальной main. Отдельная develop не используется. Соглашение проекта: &lt;тип&gt;/SGT-&lt;номер&gt;-&lt;описание&gt;. Номер положительный, без ведущего нуля. Описание — строчные латинские буквы и цифры; слова разделяются одиночными дефисами.</w:t>
      </w:r>
      <w:r>
        <w:rPr>
          <w:sz w:val="28"/>
          <w:szCs w:val="28"/>
        </w:rPr>
      </w:r>
    </w:p>
    <w:tbl>
      <w:tblPr>
        <w:tblW w:w="9355" w:type="dxa"/>
        <w:tblCellMar>
          <w:left w:w="80" w:type="dxa"/>
          <w:top w:w="80" w:type="dxa"/>
          <w:right w:w="80" w:type="dxa"/>
          <w:bottom w:w="80" w:type="dxa"/>
        </w:tblCellMar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2500"/>
        <w:gridCol w:w="5405"/>
      </w:tblGrid>
      <w:tr>
        <w:trPr>
          <w:cantSplit/>
          <w:tblHeader/>
        </w:trPr>
        <w:tc>
          <w:tcPr>
            <w:shd w:val="clear" w:color="auto" w:fill="ededed"/>
            <w:tcBorders/>
            <w:tcW w:w="1450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Префикс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ededed"/>
            <w:tcBorders/>
            <w:tcW w:w="2500" w:type="dxa"/>
            <w:vAlign w:val="center"/>
          </w:tcPr>
          <w:p>
            <w:pPr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Назначение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ededed"/>
            <w:tcBorders/>
            <w:tcW w:w="5405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Созданная ветка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450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feature/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500" w:type="dxa"/>
            <w:vAlign w:val="center"/>
          </w:tcPr>
          <w:p>
            <w:pPr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Новая функция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405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feature/SGT-15-lab5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450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bugfix/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500" w:type="dxa"/>
            <w:vAlign w:val="center"/>
          </w:tcPr>
          <w:p>
            <w:pPr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Исправление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405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bugfix/SGT-15-fresh-tests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450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docs/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500" w:type="dxa"/>
            <w:vAlign w:val="center"/>
          </w:tcPr>
          <w:p>
            <w:pPr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Отчёт и документация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405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docs/SGT-15-report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450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chore/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500" w:type="dxa"/>
            <w:vAlign w:val="center"/>
          </w:tcPr>
          <w:p>
            <w:pPr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Инфраструктура и CI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405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chore/SGT-15-workflow-standards</w:t>
            </w:r>
            <w:r>
              <w:rPr>
                <w:sz w:val="28"/>
                <w:szCs w:val="28"/>
              </w:rPr>
            </w:r>
          </w:p>
        </w:tc>
      </w:tr>
    </w:tbl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scripts/check-branch.sh разрешает только main и указанные форматы. Hook pre-pus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h проверяет ветку назначения, поэтому отправка HEAD под неверным именем также отклоняется. Теги и удаление веток не блокируются. В CI шаг Branch naming проверяет исходную ветку PR через github.head_ref, на push — github.ref_name; на тегах шаг пропускается.</w:t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Приме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р проверки: feature/SGT-3-route-catalog принято с кодом 0; feature/routes без ID задачи отклонено с кодом 1. git push --dry-run в branch-policy-rejection также отклонён hook. Автотесты проверяют префиксы, ID, описания, несколько ref, теги и удаление веток.</w:t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На GitHub временная branch-policy-reject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ion создана в обход локального hook для отрицательной проверки. Branch naming завершился ошибкой; сборка не запускалась. Ветка удалена, результат CI сохранён в branch-policy-ci.json, локальный протокол — в workflow-standards.txt в docs/measurements/SGT-15.</w:t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</w:r>
      <w:hyperlink r:id="rId9" w:tooltip="https://github.com/vasmaae/software-engineering/actions/runs/39689941691" w:history="1">
        <w:r>
          <w:rPr>
            <w:rStyle w:val="874"/>
            <w:rFonts w:ascii="Times New Roman" w:hAnsi="Times New Roman"/>
            <w:b w:val="0"/>
            <w:sz w:val="28"/>
            <w:szCs w:val="28"/>
          </w:rPr>
          <w:t xml:space="preserve">https://github.com/vasmaae/software-engineering/actions/runs/39689941691</w:t>
        </w:r>
        <w:r>
          <w:rPr>
            <w:rStyle w:val="874"/>
            <w:sz w:val="28"/>
            <w:szCs w:val="28"/>
          </w:rPr>
        </w:r>
      </w:hyperlink>
      <w:r>
        <w:rPr>
          <w:sz w:val="28"/>
          <w:szCs w:val="28"/>
        </w:rPr>
      </w:r>
      <w:r>
        <w:rPr>
          <w:rFonts w:ascii="Times New Roman" w:hAnsi="Times New Roman"/>
          <w:b w:val="0"/>
          <w:color w:val="000000"/>
          <w:sz w:val="28"/>
          <w:szCs w:val="28"/>
          <w:highlight w:val="none"/>
        </w:rPr>
      </w:r>
      <w:r>
        <w:rPr>
          <w:rFonts w:ascii="Times New Roman" w:hAnsi="Times New Roman"/>
          <w:b w:val="0"/>
          <w:color w:val="000000"/>
          <w:sz w:val="28"/>
          <w:szCs w:val="28"/>
          <w:highlight w:val="none"/>
        </w:rPr>
      </w:r>
      <w:r>
        <w:rPr>
          <w:rFonts w:ascii="Times New Roman" w:hAnsi="Times New Roman"/>
          <w:b w:val="0"/>
          <w:color w:val="00000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keepNext w:val="true"/>
        <w:pageBreakBefore w:val="true"/>
        <w:spacing w:after="120" w:before="18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Pull request и слияние</w:t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Один PR решает одну задачу и направляется в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 main. Заголовок соответствует Conventional Commits и будущему squash-коммиту. Пример: «ci(workflow): enforce branch and PR standards (SGT-15)». CI проверяет его commitlint; событие edited повторно запускает проверку после изменения заголовка или описания.</w:t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Шаблон .github/pull_request_template.md задаёт разделы «Чт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о изменено», «Проверка», «Связанная задача». Указываются результат, команды и результаты проверок, ссылка на YouTrack; для интерфейса — снимок экрана. Полнота описания проверяется вручную, формат заголовка — автоматически. Пример применения правил: PR № 5.</w:t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Защита main требует PR и актуальный успешный quality от GitHub Actions. Прави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ло действует для администратора; прямой push, force push и удаление main запрещены. Обязательны линейная история и завершение обсуждений. Одобрение другого участника не включено: проект выполняет один студент. Самопроверка не выдаётся за независимое ревью.</w:t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Процесс: ветка от main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, атомарные коммиты, push, PR, проверка изменений и quality, squash merge. PR № 1 слит после успешного CI; коммит 6dc403c242c0. Разрешён только squash merge. Первый служебный коммит создал main в пустом репозитории; последующие изменения проходят через PR.</w:t>
      </w:r>
      <w:r>
        <w:rPr>
          <w:sz w:val="28"/>
          <w:szCs w:val="28"/>
        </w:rPr>
      </w:r>
    </w:p>
    <w:p>
      <w:pPr>
        <w:keepNext w:val="true"/>
        <w:pageBreakBefore w:val="false"/>
        <w:spacing w:after="120" w:before="18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Релиз</w:t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Приняты аннотированные теги vMAJOR.MINOR.PATCH по SemVer. PATCH — и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справление, MINOR — совместимая функция, MAJOR — несовместимое изменение API; серия 0.x обозначает начальную разработку. Опубликованные теги не передвигаются. Выполнен выпуск: git tag -a v0.1.1 -m "SGT lab 5 infrastructure preview"; git push origin v0.1.1.</w:t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Push тега v0.1.1 повторил анализ, тесты,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 метрики и сборку. После успешного quality создан предварительный GitHub Release с sgt-linux-amd64.tar.gz: Linux API для amd64, React-статика, SQL и документация. Ручной замер метрик релиз не публикует. Учебный v0.1.1 не означает готовность итогового v1.0.</w:t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Слияние: </w:t>
      </w:r>
      <w:hyperlink r:id="rId10" w:tooltip="https://github.com/vasmaae/software-engineering/pull/1" w:history="1">
        <w:r>
          <w:rPr>
            <w:rStyle w:val="874"/>
            <w:rFonts w:ascii="Times New Roman" w:hAnsi="Times New Roman"/>
            <w:b w:val="0"/>
            <w:sz w:val="28"/>
            <w:szCs w:val="28"/>
          </w:rPr>
          <w:t xml:space="preserve">https://github.com/vasmaae/software-engineering/pull/1</w:t>
        </w:r>
        <w:r>
          <w:rPr>
            <w:rStyle w:val="874"/>
            <w:sz w:val="28"/>
            <w:szCs w:val="28"/>
          </w:rPr>
        </w:r>
      </w:hyperlink>
      <w:r>
        <w:rPr>
          <w:sz w:val="28"/>
          <w:szCs w:val="28"/>
        </w:rPr>
      </w:r>
      <w:r>
        <w:rPr>
          <w:rFonts w:ascii="Times New Roman" w:hAnsi="Times New Roman"/>
          <w:b w:val="0"/>
          <w:color w:val="000000"/>
          <w:sz w:val="28"/>
          <w:szCs w:val="28"/>
          <w:highlight w:val="none"/>
        </w:rPr>
      </w:r>
      <w:r>
        <w:rPr>
          <w:rFonts w:ascii="Times New Roman" w:hAnsi="Times New Roman"/>
          <w:b w:val="0"/>
          <w:color w:val="000000"/>
          <w:sz w:val="28"/>
          <w:szCs w:val="28"/>
          <w:highlight w:val="none"/>
        </w:rPr>
      </w:r>
      <w:r>
        <w:rPr>
          <w:rFonts w:ascii="Times New Roman" w:hAnsi="Times New Roman"/>
          <w:b w:val="0"/>
          <w:color w:val="00000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spacing w:after="120" w:line="276" w:lineRule="auto"/>
        <w:ind/>
        <w:jc w:val="both"/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Стандарты: </w:t>
      </w:r>
      <w:hyperlink r:id="rId11" w:tooltip="https://github.com/vasmaae/software-engineering/pull/5" w:history="1">
        <w:r>
          <w:rPr>
            <w:rStyle w:val="874"/>
            <w:rFonts w:ascii="Times New Roman" w:hAnsi="Times New Roman"/>
            <w:b w:val="0"/>
            <w:sz w:val="28"/>
            <w:szCs w:val="28"/>
          </w:rPr>
          <w:t xml:space="preserve">https://github.com/vasmaae/software-engineering/pull/5</w:t>
        </w:r>
        <w:r>
          <w:rPr>
            <w:rStyle w:val="874"/>
            <w:rFonts w:ascii="Times New Roman" w:hAnsi="Times New Roman"/>
            <w:b w:val="0"/>
            <w:bCs w:val="0"/>
            <w:sz w:val="28"/>
            <w:szCs w:val="28"/>
          </w:rPr>
        </w:r>
      </w:hyperlink>
      <w:r>
        <w:rPr>
          <w:rFonts w:ascii="Times New Roman" w:hAnsi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/>
          <w:b w:val="0"/>
          <w:color w:val="000000"/>
          <w:sz w:val="28"/>
          <w:szCs w:val="28"/>
          <w:highlight w:val="none"/>
        </w:rPr>
      </w:r>
      <w:r>
        <w:rPr>
          <w:rFonts w:ascii="Times New Roman" w:hAnsi="Times New Roman"/>
          <w:b w:val="0"/>
          <w:color w:val="000000"/>
          <w:sz w:val="28"/>
          <w:szCs w:val="28"/>
          <w:highlight w:val="none"/>
        </w:rPr>
      </w:r>
      <w:r>
        <w:rPr>
          <w:rFonts w:ascii="Times New Roman" w:hAnsi="Times New Roman"/>
          <w:b w:val="0"/>
          <w:color w:val="00000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</w:rPr>
      </w:r>
    </w:p>
    <w:p w14:paraId="163DA526">
      <w:pPr>
        <w:spacing w:after="120" w:line="276" w:lineRule="auto"/>
        <w:ind/>
        <w:jc w:val="both"/>
        <w:rPr>
          <w:sz w:val="28"/>
          <w:szCs w:val="28"/>
          <w:highlight w:val="none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Релиз: </w:t>
      </w:r>
      <w:hyperlink r:id="rId12" w:tooltip="https://github.com/vasmaae/software-engineering/releases/tag/v0.1.1" w:history="1">
        <w:r>
          <w:rPr>
            <w:rStyle w:val="874"/>
            <w:rFonts w:ascii="Times New Roman" w:hAnsi="Times New Roman"/>
            <w:b w:val="0"/>
            <w:sz w:val="28"/>
            <w:szCs w:val="28"/>
          </w:rPr>
          <w:t xml:space="preserve">https://github.com/vasmaae/software-engineering/releases/tag/v0.1.1</w:t>
        </w:r>
        <w:r>
          <w:rPr>
            <w:rStyle w:val="874"/>
            <w:sz w:val="28"/>
            <w:szCs w:val="28"/>
          </w:rPr>
        </w:r>
      </w:hyperlink>
      <w:r>
        <w:rPr>
          <w:sz w:val="28"/>
          <w:szCs w:val="28"/>
        </w:rPr>
      </w:r>
      <w:r/>
    </w:p>
    <w:p w14:paraId="5BD4DA0A"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  <w:highlight w:val="none"/>
        </w:rPr>
      </w:r>
      <w:r>
        <w:rPr>
          <w:rFonts w:ascii="Times New Roman" w:hAnsi="Times New Roman"/>
          <w:b w:val="0"/>
          <w:color w:val="000000"/>
          <w:sz w:val="28"/>
          <w:szCs w:val="28"/>
          <w:highlight w:val="none"/>
        </w:rPr>
      </w:r>
      <w:r>
        <w:rPr>
          <w:rFonts w:ascii="Times New Roman" w:hAnsi="Times New Roman"/>
          <w:b w:val="0"/>
          <w:color w:val="000000"/>
          <w:sz w:val="28"/>
          <w:szCs w:val="28"/>
          <w:highlight w:val="none"/>
        </w:rPr>
      </w:r>
    </w:p>
    <w:p>
      <w:pPr>
        <w:keepNext w:val="true"/>
        <w:pageBreakBefore w:val="true"/>
        <w:spacing w:after="120" w:before="18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Контроль качества и пайплайн</w:t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Для Go применяются gofmt и go vet; для JS и JSX — ESLint с eslint.config.j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s и Prettier с настройками по умолчанию. make lint проверяет оформление и статический анализ без автоматического исправления файлов. Ошибки и предупреждения ESLint запрещены. Отдельная проверка текста комментариев не настроена; в задании она необязательна.</w:t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Workflow .github/workflows/ci.yml запускается на push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 и PR, а также вручную для замера этапа. Он поднимает PostgreSQL 18, проверяет имя ветки, устанавливает Go 1.27 и Node.js 24, выполняет npm ci, проверяет коммиты и заголовок PR, применяет SQL-миграцию и запускает make lint. Далее — тесты, метрики и сборка.</w:t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Модульные тесты Go проверяют параметры и HTTP-мето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ды. Интеграционные тесты используют настоящую PostgreSQL: каталог, совмещённые фильтры, пустой ответ, литерал %, попытка SQL-инъекции, доступность БД и отказ подключения. React-тесты проверяют загрузку, поиск, фильтр, пустой ответ, ошибку и отмену запроса.</w:t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Go запускается с -count=1, race detector 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и отчётом покрытия. В CI отсутствие TEST_DATABASE_URL считается ошибкой. Vitest формирует JSON и V8-покрытие; минимальный порог React — 80% строк и ветвлений. Отдельно проходят пять тестов скриптов: три проверки правил веток и две проверки сборщика метрик.</w:t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При успешных проверках ma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ke build собирает Go API и React; tar формирует sgt-linux-amd64.tar.gz. В Actions загружаются сборка и исходные отчёты; отчёты и сборка хранятся один день. Неуспешный обязательный шаг блокирует сборку и слияние. Выпуск по тегу разрешён только после успешного quality.</w:t>
      </w:r>
      <w:r>
        <w:rPr>
          <w:sz w:val="28"/>
          <w:szCs w:val="28"/>
        </w:rPr>
      </w:r>
    </w:p>
    <w:p>
      <w:pPr>
        <w:keepNext w:val="true"/>
        <w:pageBreakBefore w:val="false"/>
        <w:spacing w:after="120" w:before="18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Тестовая среда и результат</w:t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Docker Compose запускает db, api и web. Через http://localhost:8080 доступны интерфейс и /api: health возвращает 204, каталог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 — три маршрута. Проверены совместный поиск и фильтр и ширина 360 px без горизонтального переполнения. База не публикуется наружу, данные — в томе, пароль — в локальном .env. Начальная транзакционная миграция автоматически применяется только к новому тому.</w:t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Локально проверены также Docker-сборки. CI проверяет и собирает Go и React. Опциональный автоматический деплой при слиянии в main не настроен; Compose запускается вручную.</w:t>
      </w:r>
      <w:r>
        <w:rPr>
          <w:sz w:val="28"/>
          <w:szCs w:val="28"/>
        </w:rPr>
      </w:r>
    </w:p>
    <w:p>
      <w:pPr>
        <w:keepNext w:val="true"/>
        <w:pageBreakBefore w:val="true"/>
        <w:spacing w:after="120" w:before="18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Фактические метрики этапа SGT-15</w:t>
      </w:r>
      <w:r>
        <w:rPr>
          <w:sz w:val="28"/>
          <w:szCs w:val="28"/>
        </w:rPr>
      </w:r>
    </w:p>
    <w:tbl>
      <w:tblPr>
        <w:tblW w:w="9355" w:type="dxa"/>
        <w:tblCellMar>
          <w:left w:w="80" w:type="dxa"/>
          <w:top w:w="80" w:type="dxa"/>
          <w:right w:w="80" w:type="dxa"/>
          <w:bottom w:w="80" w:type="dxa"/>
        </w:tblCellMar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Look w:val="04A0" w:firstRow="1" w:lastRow="0" w:firstColumn="1" w:lastColumn="0" w:noHBand="0" w:noVBand="1"/>
      </w:tblPr>
      <w:tblGrid>
        <w:gridCol w:w="7300"/>
        <w:gridCol w:w="2055"/>
      </w:tblGrid>
      <w:tr>
        <w:trPr>
          <w:cantSplit/>
          <w:tblHeader/>
        </w:trPr>
        <w:tc>
          <w:tcPr>
            <w:shd w:val="clear" w:color="auto" w:fill="ededed"/>
            <w:tcBorders/>
            <w:tcW w:w="7300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Показатель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ededed"/>
            <w:tcBorders/>
            <w:tcW w:w="2055" w:type="dxa"/>
            <w:vAlign w:val="center"/>
          </w:tcPr>
          <w:p>
            <w:pPr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Значение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7300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Ошибки ESLint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055" w:type="dxa"/>
            <w:vAlign w:val="center"/>
          </w:tcPr>
          <w:p>
            <w:pPr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7300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Предупреждения ESLint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055" w:type="dxa"/>
            <w:vAlign w:val="center"/>
          </w:tcPr>
          <w:p>
            <w:pPr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7300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Покрытие операторов Go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055" w:type="dxa"/>
            <w:vAlign w:val="center"/>
          </w:tcPr>
          <w:p>
            <w:pPr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85.7 %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7300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Покрытие строк React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055" w:type="dxa"/>
            <w:vAlign w:val="center"/>
          </w:tcPr>
          <w:p>
            <w:pPr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100 %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7300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Покрытие ветвлений React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055" w:type="dxa"/>
            <w:vAlign w:val="center"/>
          </w:tcPr>
          <w:p>
            <w:pPr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100 %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7300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Успешные тесты приложения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055" w:type="dxa"/>
            <w:vAlign w:val="center"/>
          </w:tcPr>
          <w:p>
            <w:pPr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17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7300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Упавшие тесты приложения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055" w:type="dxa"/>
            <w:vAlign w:val="center"/>
          </w:tcPr>
          <w:p>
            <w:pPr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7300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Время выполнения тестов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055" w:type="dxa"/>
            <w:vAlign w:val="center"/>
          </w:tcPr>
          <w:p>
            <w:pPr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1.179 с</w:t>
            </w:r>
            <w:r>
              <w:rPr>
                <w:sz w:val="28"/>
                <w:szCs w:val="28"/>
              </w:rPr>
            </w:r>
          </w:p>
        </w:tc>
      </w:tr>
    </w:tbl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Восемь числовых полей покрывают пять видов показателей из задания: замечания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 линтера, покрытие кода, покрытие ветвлений, результаты тестов и время тестов. Go-покрытие относится к internal, React-покрытие — к App.jsx. Родительские Go-тесты не считаются повторно. Две отдельные проверки сборщика метрик в числа приложения не включены.</w:t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Время — сумма длительностей Go-пакетов и тестовых файлов React, без установки зависимостей и сборки. Отсутствующий отчёт вызывает ошибку сбора вместо подстановки нуля.</w:t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Замер,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 приведённый в таблице, выполнен 22.10.2026. Плановая дата инфраструктуры 03.10.2026 сохранена; задним числом измерения не создавались. Для SGT-14 и будущих этапов вымышленные значения не записывались. При их фактической сдаче используется тот же workflow.</w:t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Измеренная версия: 8c75137c623f; тег v0.1.1.</w:t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</w:r>
      <w:hyperlink r:id="rId13" w:tooltip="https://github.com/vasmaae/software-engineering/actions/runs/39684392913" w:history="1">
        <w:r>
          <w:rPr>
            <w:rStyle w:val="874"/>
            <w:rFonts w:ascii="Times New Roman" w:hAnsi="Times New Roman"/>
            <w:b w:val="0"/>
            <w:sz w:val="28"/>
            <w:szCs w:val="28"/>
          </w:rPr>
          <w:t xml:space="preserve">https://github.com/vasmaae/software-engineering/actions/runs/39684392913</w:t>
        </w:r>
        <w:r>
          <w:rPr>
            <w:rStyle w:val="874"/>
            <w:sz w:val="28"/>
            <w:szCs w:val="28"/>
          </w:rPr>
        </w:r>
      </w:hyperlink>
      <w:r>
        <w:rPr>
          <w:sz w:val="28"/>
          <w:szCs w:val="28"/>
        </w:rPr>
      </w:r>
      <w:r>
        <w:rPr>
          <w:rFonts w:ascii="Times New Roman" w:hAnsi="Times New Roman"/>
          <w:b w:val="0"/>
          <w:color w:val="000000"/>
          <w:sz w:val="28"/>
          <w:szCs w:val="28"/>
          <w:highlight w:val="none"/>
        </w:rPr>
      </w:r>
      <w:r>
        <w:rPr>
          <w:rFonts w:ascii="Times New Roman" w:hAnsi="Times New Roman"/>
          <w:b w:val="0"/>
          <w:color w:val="000000"/>
          <w:sz w:val="28"/>
          <w:szCs w:val="28"/>
          <w:highlight w:val="none"/>
        </w:rPr>
      </w:r>
      <w:r>
        <w:rPr>
          <w:rFonts w:ascii="Times New Roman" w:hAnsi="Times New Roman"/>
          <w:b w:val="0"/>
          <w:color w:val="000000"/>
          <w:sz w:val="28"/>
          <w:szCs w:val="28"/>
          <w:highlight w:val="none"/>
        </w:rPr>
      </w:r>
      <w:r>
        <w:rPr>
          <w:rFonts w:ascii="Times New Roman" w:hAnsi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keepNext w:val="true"/>
        <w:pageBreakBefore w:val="true"/>
        <w:spacing w:after="120" w:before="18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Измерения по этапам и связь с YouTrack</w:t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Используется существующий проект SGT. Инфраструктура относится к SGT-15; демонстрационный каталог связан с SGT-3 и SGT-4. Завершение ЛР5 не закрывает отсутствующие функции справочника. Оценки, плановые даты и фактическое время других задач не изменялись.</w:t>
      </w:r>
      <w:r>
        <w:rPr>
          <w:sz w:val="28"/>
          <w:szCs w:val="28"/>
        </w:rPr>
      </w:r>
    </w:p>
    <w:tbl>
      <w:tblPr>
        <w:tblW w:w="9355" w:type="dxa"/>
        <w:tblCellMar>
          <w:left w:w="80" w:type="dxa"/>
          <w:top w:w="80" w:type="dxa"/>
          <w:right w:w="80" w:type="dxa"/>
          <w:bottom w:w="80" w:type="dxa"/>
        </w:tblCellMar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350"/>
        <w:gridCol w:w="5505"/>
      </w:tblGrid>
      <w:tr>
        <w:trPr>
          <w:cantSplit/>
          <w:tblHeader/>
        </w:trPr>
        <w:tc>
          <w:tcPr>
            <w:shd w:val="clear" w:color="auto" w:fill="ededed"/>
            <w:tcBorders/>
            <w:tcW w:w="1500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Этап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ededed"/>
            <w:tcBorders/>
            <w:tcW w:w="2350" w:type="dxa"/>
            <w:vAlign w:val="center"/>
          </w:tcPr>
          <w:p>
            <w:pPr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Плановая сдача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ededed"/>
            <w:tcBorders/>
            <w:tcW w:w="5505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Результат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500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SGT-14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350" w:type="dxa"/>
            <w:vAlign w:val="center"/>
          </w:tcPr>
          <w:p>
            <w:pPr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26.09.2026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505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Прототип интерфейса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500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SGT-15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350" w:type="dxa"/>
            <w:vAlign w:val="center"/>
          </w:tcPr>
          <w:p>
            <w:pPr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03.10.2026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505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Инфраструктура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500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SGT-16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350" w:type="dxa"/>
            <w:vAlign w:val="center"/>
          </w:tcPr>
          <w:p>
            <w:pPr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24.10.2026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505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Данные и администрирование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500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SGT-17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350" w:type="dxa"/>
            <w:vAlign w:val="center"/>
          </w:tcPr>
          <w:p>
            <w:pPr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14.11.2026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505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Публичный справочник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500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SGT-18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350" w:type="dxa"/>
            <w:vAlign w:val="center"/>
          </w:tcPr>
          <w:p>
            <w:pPr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28.11.2026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505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Расписания и адаптация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500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SGT-19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350" w:type="dxa"/>
            <w:vAlign w:val="center"/>
          </w:tcPr>
          <w:p>
            <w:pPr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05.12.2026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505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Итоговое тестирование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500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SGT-20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350" w:type="dxa"/>
            <w:vAlign w:val="center"/>
          </w:tcPr>
          <w:p>
            <w:pPr>
              <w:spacing w:after="0" w:before="0" w:line="240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08.12.2026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505" w:type="dxa"/>
            <w:vAlign w:val="center"/>
          </w:tcPr>
          <w:p>
            <w:pPr>
              <w:spacing w:after="0" w:before="0" w:line="240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Релиз и итоговая сдача</w:t>
            </w:r>
            <w:r>
              <w:rPr>
                <w:sz w:val="28"/>
                <w:szCs w:val="28"/>
              </w:rPr>
            </w:r>
          </w:p>
        </w:tc>
      </w:tr>
    </w:tbl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CI измеряет качество при каждом изменении. Для фиксации завершённо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го этапа отправляется тег stage/SGT-15 либо запускается CI вручную с полем stage. JSON содержит ID этапа, фактическое время, SHA и ссылку на запуск. Тег сохраняет точную версию кода; снимок и исходные отчёты сохраняются в docs/measurements/SGT-15 через PR.</w:t>
      </w:r>
      <w:r>
        <w:rPr>
          <w:sz w:val="28"/>
          <w:szCs w:val="28"/>
        </w:rPr>
      </w:r>
    </w:p>
    <w:p>
      <w:pPr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Настроен воспроизводимый про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цесс от коммита и PR до проверенной сборки и предварительного релиза. Метрики собираются автоматически и привязываются к этапам существующего плана YouTrack. Оставшиеся функциональные задачи и сроки их фактической сдачи продолжают отслеживаться в YouTrack.</w:t>
      </w:r>
      <w:r>
        <w:rPr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C219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vasmaae/software-engineering/actions/runs/39689941691" TargetMode="External"/><Relationship Id="rId10" Type="http://schemas.openxmlformats.org/officeDocument/2006/relationships/hyperlink" Target="https://github.com/vasmaae/software-engineering/pull/1" TargetMode="External"/><Relationship Id="rId11" Type="http://schemas.openxmlformats.org/officeDocument/2006/relationships/hyperlink" Target="https://github.com/vasmaae/software-engineering/pull/5" TargetMode="External"/><Relationship Id="rId12" Type="http://schemas.openxmlformats.org/officeDocument/2006/relationships/hyperlink" Target="https://github.com/vasmaae/software-engineering/releases/tag/v0.1.1" TargetMode="External"/><Relationship Id="rId13" Type="http://schemas.openxmlformats.org/officeDocument/2006/relationships/hyperlink" Target="https://github.com/vasmaae/software-engineering/actions/runs/39684392913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2026-10-21T23:13:29Z</dcterms:modified>
</cp:coreProperties>
</file>