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22 June 2026</w:t>
      </w:r>
    </w:p>
    <w:p>
      <w:pPr>
        <w:spacing w:after="240"/>
        <w:jc w:val="left"/>
      </w:pPr>
      <w:r>
        <w:rPr>
          <w:b w:val="0"/>
          <w:i w:val="0"/>
        </w:rPr>
        <w:t>To the Editors-in-Chief,</w:t>
        <w:br/>
        <w:t>Computers &amp; Geosciences</w:t>
      </w:r>
    </w:p>
    <w:p>
      <w:pPr>
        <w:spacing w:after="200"/>
        <w:jc w:val="left"/>
      </w:pPr>
      <w:r>
        <w:rPr>
          <w:b w:val="0"/>
          <w:i w:val="0"/>
        </w:rPr>
        <w:t>Dear Editors,</w:t>
      </w:r>
    </w:p>
    <w:p>
      <w:pPr>
        <w:spacing w:after="200"/>
        <w:jc w:val="both"/>
      </w:pPr>
      <w:r>
        <w:rPr>
          <w:b w:val="0"/>
          <w:i w:val="0"/>
        </w:rPr>
        <w:t>We are pleased to submit our manuscript, “LakeForcing: a σ-to-z coupling algorithm and open pipeline for hydrodynamic and wind-wave forcing of inland lakes to drive Lagrangian transport models”, for consideration in Computers &amp; Geosciences.</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Computers &amp; Geosciences as original research at the interface of computational science and the geosciences: it contributes a reusable algorithm and an openly released, reproducible software pipeline — centred on a fully specified sigma-to-z coupling that bridges a terrain-following hydrodynamic engine to a generic Lagrangian tracker — together with a demonstration of its generality across twelve lakes and full software and data availability. It addresses a concrete and timely computational barrier to environmental transport modelling in freshwater systems. The generality is supported by a model-to-model benchmark against an expert-built reservoir model and by an independent comparison of the exported surface temperature against satellite observations for four further lakes. The complete source code is released under the MIT licence with a continuous-integration test capsule, and the generated twelve-lake forcing dataset is openly archived, so that the reported results are fully reproducible. We would also be glad to prepare a companion data descriptor for the forcing dataset as a linked co-submission (e.g. in Data in Brief) should the editors consider it appropriate.</w:t>
      </w:r>
    </w:p>
    <w:p>
      <w:pPr>
        <w:spacing w:after="200"/>
        <w:jc w:val="both"/>
      </w:pPr>
      <w:r>
        <w:rPr>
          <w:b w:val="0"/>
          <w:i w:val="0"/>
        </w:rPr>
        <w:t xml:space="preserve">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w:t>
      </w:r>
      <w:hyperlink r:id="rId9">
        <w:r>
          <w:rPr>
            <w:color w:val="0563C1"/>
            <w:u w:val="single"/>
            <w:rFonts w:ascii="Times New Roman" w:hAnsi="Times New Roman"/>
            <w:sz w:val="22"/>
          </w:rPr>
          <w:t xml:space="preserve">https://github.com/vaspapa79/LakeForcing</w:t>
        </w:r>
      </w:hyperlink>
      <w:r>
        <w:rPr>
          <w:b w:val="0"/>
          <w:i w:val="0"/>
        </w:rPr>
        <w:t xml:space="preserve"> and archived on Zenodo (concept DOI: </w:t>
      </w:r>
      <w:hyperlink r:id="rId10">
        <w:r>
          <w:rPr>
            <w:color w:val="0563C1"/>
            <w:u w:val="single"/>
            <w:rFonts w:ascii="Times New Roman" w:hAnsi="Times New Roman"/>
            <w:sz w:val="22"/>
          </w:rPr>
          <w:t xml:space="preserve">https://doi.org/10.5281/zenodo.20627160</w:t>
        </w:r>
      </w:hyperlink>
      <w:r>
        <w:rPr>
          <w:b w:val="0"/>
          <w:i w:val="0"/>
        </w:rPr>
        <w:t>); the generated twelve-lake forcing dataset is distributed as release assets of the same archive.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aspapa79/LakeForcing" TargetMode="External"/><Relationship Id="rId10" Type="http://schemas.openxmlformats.org/officeDocument/2006/relationships/hyperlink" Target="https://doi.org/10.5281/zenodo.20627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