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F3B63"/>
          <w:sz w:val="32"/>
        </w:rPr>
        <w:t>Response to Reviewer Comments</w:t>
      </w:r>
    </w:p>
    <w:p>
      <w:pPr>
        <w:spacing w:before="0" w:after="120"/>
      </w:pPr>
      <w:r>
        <w:rPr>
          <w:i/>
        </w:rPr>
        <w:t>Manuscript: "LakeForcing - a sigma-to-z coupling algorithm and open pipeline for hydrodynamic and wind-wave forcing of inland lakes to drive Lagrangian transport models"</w:t>
      </w:r>
    </w:p>
    <w:p>
      <w:pPr>
        <w:spacing w:before="0" w:after="120"/>
      </w:pPr>
      <w:r>
        <w:rPr>
          <w:i/>
        </w:rPr>
        <w:t>Journal: Computers &amp; Geosciences    |    Decision: Major Revision</w:t>
      </w:r>
    </w:p>
    <w:p>
      <w:pPr>
        <w:spacing w:before="80" w:after="120"/>
      </w:pPr>
      <w:r>
        <w:rPr>
          <w:i w:val="0"/>
        </w:rPr>
        <w:t>We thank the reviewer for a careful, constructive and unusually specific review. The concerns were well taken and every one has been addressed in the revised manuscript and the repository. Below we reply point by point; reviewer text is paraphrased in italics, and manuscript locations refer to the revised version. Key facts added to the paper (Delft3D acquisition, CDS dataset/variable strings, SWAN field names, fixture provenance, conservation statistics across the depth range, and the with/without-Polyfytos correlations) were taken directly from the released code and data.</w:t>
      </w:r>
    </w:p>
    <w:p>
      <w:pPr>
        <w:spacing w:before="200" w:after="120"/>
      </w:pPr>
      <w:r>
        <w:rPr>
          <w:b/>
          <w:color w:val="1F3B63"/>
          <w:sz w:val="28"/>
        </w:rPr>
        <w:t>1. Essential - reproducibility blockers</w:t>
      </w:r>
    </w:p>
    <w:p>
      <w:pPr>
        <w:spacing w:before="160" w:after="40"/>
      </w:pPr>
      <w:r>
        <w:rPr>
          <w:b/>
          <w:color w:val="1F3B63"/>
        </w:rPr>
        <w:t>R1 - Delft3D version and build provenance</w:t>
      </w:r>
    </w:p>
    <w:p>
      <w:pPr>
        <w:spacing w:after="40"/>
      </w:pPr>
      <w:r>
        <w:rPr>
          <w:b/>
          <w:i/>
        </w:rPr>
        <w:t xml:space="preserve">Reviewer: </w:t>
      </w:r>
      <w:r>
        <w:rPr>
          <w:i/>
        </w:rPr>
        <w:t>Delft3D 4 is a legacy branch with a non-trivial build; no container/binary or build configuration is given, so the hydrodynamic runs cannot be reproduced.</w:t>
      </w:r>
    </w:p>
    <w:p>
      <w:pPr>
        <w:spacing w:after="120"/>
      </w:pPr>
      <w:r>
        <w:rPr>
          <w:b/>
        </w:rPr>
        <w:t xml:space="preserve">Response: </w:t>
      </w:r>
      <w:r>
        <w:t>We now state in Section 3.2 and the Software-availability table that we did not build Delft3D from source: the reported runs used the official Deltares pre-built Delft3D 4 binary (release tag 4.07.01) from the Deltares open-source portal (oss.deltares.nl/web/delft3d), executed on Windows 11 (64-bit) through the distribution's own launch scripts. Using the vendor binary means the FLOW/WAVE results do not depend on a user's compiler, MPI variant or patch level; the exact tag, OS and download reference are recorded in the README and the table. We also emphasise that the most reusable component - the sigma-to-z exporter - is made independently reproducible without the engine via the CI fixture (R3).</w:t>
      </w:r>
    </w:p>
    <w:p>
      <w:pPr>
        <w:spacing w:before="160" w:after="40"/>
      </w:pPr>
      <w:r>
        <w:rPr>
          <w:b/>
          <w:color w:val="1F3B63"/>
        </w:rPr>
        <w:t>R2 - ERA5/CDS retrieval specification</w:t>
      </w:r>
    </w:p>
    <w:p>
      <w:pPr>
        <w:spacing w:after="40"/>
      </w:pPr>
      <w:r>
        <w:rPr>
          <w:b/>
          <w:i/>
        </w:rPr>
        <w:t xml:space="preserve">Reviewer: </w:t>
      </w:r>
      <w:r>
        <w:rPr>
          <w:i/>
        </w:rPr>
        <w:t>No CDS dataset names, variable short-names, product types, cdsapi version, or credential setup are given; the CDS migration will break the retrieval.</w:t>
      </w:r>
    </w:p>
    <w:p>
      <w:pPr>
        <w:spacing w:after="120"/>
      </w:pPr>
      <w:r>
        <w:rPr>
          <w:b/>
        </w:rPr>
        <w:t xml:space="preserve">Response: </w:t>
      </w:r>
      <w:r>
        <w:t>Added to Section 3.2 and the README: all three get_era5_*.py modules call cdsapi against dataset "reanalysis-era5-single-levels" with product_type "reanalysis" and the exact short-names - 10m_u_component_of_wind, 10m_v_component_of_wind (wind); 2m_temperature, 2m_dewpoint_temperature, total_cloud_cover, surface_solar_radiation_downwards (heat flux); total_precipitation, evaporation, 2m_temperature (mass balance). We note the legacy-CDS retirement, give the confirmed cdsapi version and the ~/.cdsapirc credential steps in the README, and state that the variable names are unchanged across the migration (only the endpoint/key differ).</w:t>
      </w:r>
    </w:p>
    <w:p>
      <w:pPr>
        <w:spacing w:before="160" w:after="40"/>
      </w:pPr>
      <w:r>
        <w:rPr>
          <w:b/>
          <w:color w:val="1F3B63"/>
        </w:rPr>
        <w:t>R3 - test fixture provenance</w:t>
      </w:r>
    </w:p>
    <w:p>
      <w:pPr>
        <w:spacing w:after="40"/>
      </w:pPr>
      <w:r>
        <w:rPr>
          <w:b/>
          <w:i/>
        </w:rPr>
        <w:t xml:space="preserve">Reviewer: </w:t>
      </w:r>
      <w:r>
        <w:rPr>
          <w:i/>
        </w:rPr>
        <w:t>The CI fixture is undescribed (which lake, grid size, duration, how generated, what the test checks).</w:t>
      </w:r>
    </w:p>
    <w:p>
      <w:pPr>
        <w:spacing w:after="120"/>
      </w:pPr>
      <w:r>
        <w:rPr>
          <w:b/>
        </w:rPr>
        <w:t xml:space="preserve">Response: </w:t>
      </w:r>
      <w:r>
        <w:t>The fixture is now fully described in Section 3.2 and the Software-availability table: it is a subset of the smallest demonstration lake, Erken (EPSG:32634); trim-erken_mini.nc keeps the first two time steps and the variables the exporter reads on the 125x52 grid with 14 sigma-layers, with the matching wavm-erken_mini.nc. Both are produced from the full Erken run by the versioned tests/build_fixture.py and are committed and checksummed. We list what tests/test_cf_export.py asserts quantitatively (clean exit, CF Conventions, presence and CF standard_names of u/v/temp/zeta/Hs, monotonic z-levels with surface at 0 and sub-bed masking, monotonic lon/lat, finite wet surface).</w:t>
      </w:r>
    </w:p>
    <w:p>
      <w:pPr>
        <w:spacing w:before="160" w:after="40"/>
      </w:pPr>
      <w:r>
        <w:rPr>
          <w:b/>
          <w:color w:val="1F3B63"/>
        </w:rPr>
        <w:t>R4 - SWAN output variables in Eq. (6)</w:t>
      </w:r>
    </w:p>
    <w:p>
      <w:pPr>
        <w:spacing w:after="40"/>
      </w:pPr>
      <w:r>
        <w:rPr>
          <w:b/>
          <w:i/>
        </w:rPr>
        <w:t xml:space="preserve">Reviewer: </w:t>
      </w:r>
      <w:r>
        <w:rPr>
          <w:i/>
        </w:rPr>
        <w:t>The SWAN fields used for Hs, Tp and direction are not stated; choosing the wrong period gives a factor-of-two Stokes error.</w:t>
      </w:r>
    </w:p>
    <w:p>
      <w:pPr>
        <w:spacing w:after="120"/>
      </w:pPr>
      <w:r>
        <w:rPr>
          <w:b/>
        </w:rPr>
        <w:t xml:space="preserve">Response: </w:t>
      </w:r>
      <w:r>
        <w:t>Specified in Section 2.5(4): Hs is taken from HSIGN, Tp from RTP (SWAN's relative peak period at the spectral peak - explicitly not an integral mean such as TM01/TMM10), and direction from DIR, all from the wavm-*.nc map file and requested in the .mdw output block written by the wave generator. We add the explicit warning that substituting a mean period for RTP would bias the Stokes magnitude by a factor of order two.</w:t>
      </w:r>
    </w:p>
    <w:p>
      <w:pPr>
        <w:spacing w:before="160" w:after="40"/>
      </w:pPr>
      <w:r>
        <w:rPr>
          <w:b/>
          <w:color w:val="1F3B63"/>
        </w:rPr>
        <w:t>R5 - Zenodo archive contents</w:t>
      </w:r>
    </w:p>
    <w:p>
      <w:pPr>
        <w:spacing w:after="40"/>
      </w:pPr>
      <w:r>
        <w:rPr>
          <w:b/>
          <w:i/>
        </w:rPr>
        <w:t xml:space="preserve">Reviewer: </w:t>
      </w:r>
      <w:r>
        <w:rPr>
          <w:i/>
        </w:rPr>
        <w:t>The manuscript must let the reviewer verify that the deposit actually contains the twelve-lake NetCDF dataset, not only code; if only code is deposited, correct the Data-availability statement and deposit the data separately.</w:t>
      </w:r>
    </w:p>
    <w:p>
      <w:pPr>
        <w:spacing w:after="120"/>
      </w:pPr>
      <w:r>
        <w:rPr>
          <w:b/>
        </w:rPr>
        <w:t xml:space="preserve">Response: </w:t>
      </w:r>
      <w:r>
        <w:t>On checking the deposit we confirmed the reviewer's suspected case: the Zenodo record is created through the GitHub-release integration and archives the source-code snapshot only (the generated NetCDF files are large and licensed CC-BY-4.0, and are not committed to the repo). We have therefore corrected the Data-availability statement rather than overstate the Zenodo contents: it now says the source code is archived on Zenodo (concept DOI, MIT), while the twelve-lake forcing dataset (CC-BY-4.0; twelve &lt;lake&gt;_forcing.nc, ~0.9 GB uncompressed / ~0.7 GB as LakeForcing-OpenDrift_forcing_dataset_v1.0.0.zip) is distributed as a versioned GitHub release asset with a manifest (DATASET_MANIFEST.txt) listing each file's size and SHA-256 checksum for verification against Section 4. We are glad to additionally mint a separate Zenodo data DOI for the forcing dataset if the editors prefer a single citable data archive.</w:t>
      </w:r>
    </w:p>
    <w:p>
      <w:pPr>
        <w:spacing w:before="200" w:after="120"/>
      </w:pPr>
      <w:r>
        <w:rPr>
          <w:b/>
          <w:color w:val="1F3B63"/>
          <w:sz w:val="28"/>
        </w:rPr>
        <w:t>2. Major issues</w:t>
      </w:r>
    </w:p>
    <w:p>
      <w:pPr>
        <w:spacing w:before="160" w:after="40"/>
      </w:pPr>
      <w:r>
        <w:rPr>
          <w:b/>
          <w:color w:val="1F3B63"/>
        </w:rPr>
        <w:t>M1 - Polyfytos benchmark circularity</w:t>
      </w:r>
    </w:p>
    <w:p>
      <w:pPr>
        <w:spacing w:after="40"/>
      </w:pPr>
      <w:r>
        <w:rPr>
          <w:b/>
          <w:i/>
        </w:rPr>
        <w:t xml:space="preserve">Reviewer: </w:t>
      </w:r>
      <w:r>
        <w:rPr>
          <w:i/>
        </w:rPr>
        <w:t>The reference (Papaioannou et al., 2025) is the authors' own prior model; presenting it as independent validation overstates its weight.</w:t>
      </w:r>
    </w:p>
    <w:p>
      <w:pPr>
        <w:spacing w:after="120"/>
      </w:pPr>
      <w:r>
        <w:rPr>
          <w:b/>
        </w:rPr>
        <w:t xml:space="preserve">Response: </w:t>
      </w:r>
      <w:r>
        <w:t>Agreed. Section 5.6 is retitled "Consistency check against an expert-built reference model from the same group" and its opening now states plainly that the reference is the authors' own previously published model and that the comparison is an internal consistency check, not independent validation. The abstract, the Section-5 overview and the Conclusions were reworded the same way (the abstract now says "in a consistency check against an expert-built reference model ... it reproduces that model's surface temperature"). The directional-correlation failure (|rho| ~ 0.10, unchanged at ~0.09 with river discharge added) is retained and discussed as delimiting what the automated configuration does and does not reproduce.</w:t>
      </w:r>
    </w:p>
    <w:p>
      <w:pPr>
        <w:spacing w:before="160" w:after="40"/>
      </w:pPr>
      <w:r>
        <w:rPr>
          <w:b/>
          <w:color w:val="1F3B63"/>
        </w:rPr>
        <w:t>M2 - Conservation note, single lake only</w:t>
      </w:r>
    </w:p>
    <w:p>
      <w:pPr>
        <w:spacing w:after="40"/>
      </w:pPr>
      <w:r>
        <w:rPr>
          <w:b/>
          <w:i/>
        </w:rPr>
        <w:t xml:space="preserve">Reviewer: </w:t>
      </w:r>
      <w:r>
        <w:rPr>
          <w:i/>
        </w:rPr>
        <w:t>The 2% transport discrepancy is given for one unnamed lake; shallow lakes should be worse; report range / worst case and clarify the statistic.</w:t>
      </w:r>
    </w:p>
    <w:p>
      <w:pPr>
        <w:spacing w:after="120"/>
      </w:pPr>
      <w:r>
        <w:rPr>
          <w:b/>
        </w:rPr>
        <w:t xml:space="preserve">Response: </w:t>
      </w:r>
      <w:r>
        <w:t>The conservation note in Section 2.5 now reports the median relative depth-integrated transport error across the depth range and names the representative lake (Bornos, ~2.1%). New numbers: ~2.0% for the shallow Sea of Galilee (~6 m), ~0.5% for shallow Poyang (~6 m), ~0.9% for deep Mead (~40 m). The key finding is that the median does NOT grow systematically as the basin shoals. We also clarify that the per-column mean is larger (up to ~10% in some lakes) but is dominated by the slowest cells, where a relative error measure is ill-conditioned (vanishing denominator) while the absolute error stays small.</w:t>
      </w:r>
    </w:p>
    <w:p>
      <w:pPr>
        <w:spacing w:before="160" w:after="40"/>
      </w:pPr>
      <w:r>
        <w:rPr>
          <w:b/>
          <w:color w:val="1F3B63"/>
        </w:rPr>
        <w:t>M3 - Table 3 does not flag Polyfytos</w:t>
      </w:r>
    </w:p>
    <w:p>
      <w:pPr>
        <w:spacing w:after="40"/>
      </w:pPr>
      <w:r>
        <w:rPr>
          <w:b/>
          <w:i/>
        </w:rPr>
        <w:t xml:space="preserve">Reviewer: </w:t>
      </w:r>
      <w:r>
        <w:rPr>
          <w:i/>
        </w:rPr>
        <w:t>Polyfytos (hand-built) sits in the same style as the eleven auto-generated lakes and may mislead.</w:t>
      </w:r>
    </w:p>
    <w:p>
      <w:pPr>
        <w:spacing w:after="120"/>
      </w:pPr>
      <w:r>
        <w:rPr>
          <w:b/>
        </w:rPr>
        <w:t xml:space="preserve">Response: </w:t>
      </w:r>
      <w:r>
        <w:t>Table 3 now renders the Polyfytos row in bold and labels the lake cell "Polyfytos* (hand-built)"; the caption and footnote state that all twelve lakes are auto-generated except Polyfytos, which is the export-path control and not an auto-generated case.</w:t>
      </w:r>
    </w:p>
    <w:p>
      <w:pPr>
        <w:spacing w:before="160" w:after="40"/>
      </w:pPr>
      <w:r>
        <w:rPr>
          <w:b/>
          <w:color w:val="1F3B63"/>
        </w:rPr>
        <w:t>M4 - sigma-layer indexing convention</w:t>
      </w:r>
    </w:p>
    <w:p>
      <w:pPr>
        <w:spacing w:after="40"/>
      </w:pPr>
      <w:r>
        <w:rPr>
          <w:b/>
          <w:i/>
        </w:rPr>
        <w:t xml:space="preserve">Reviewer: </w:t>
      </w:r>
      <w:r>
        <w:rPr>
          <w:i/>
        </w:rPr>
        <w:t>It is not stated whether sigma_k is read directly from Delft3D or transformed; a sign/indexing error would silently invert the profile.</w:t>
      </w:r>
    </w:p>
    <w:p>
      <w:pPr>
        <w:spacing w:after="120"/>
      </w:pPr>
      <w:r>
        <w:rPr>
          <w:b/>
        </w:rPr>
        <w:t xml:space="preserve">Response: </w:t>
      </w:r>
      <w:r>
        <w:t>Section 2.5(1) now specifies that sigma_k is read directly from the SIG_LYR variable of the trim-*.nc map file (with S1, DPS and ALFAS), that no vertical offset is applied, and that the only transformation is a single sign normalisation for builds that store the fractions positive-down on [0,1], so Eq. (4) always receives sigma=0 at the surface and sigma=-1 at the bed, with the surface-most layer mapped to the top z-level.</w:t>
      </w:r>
    </w:p>
    <w:p>
      <w:pPr>
        <w:spacing w:before="160" w:after="40"/>
      </w:pPr>
      <w:r>
        <w:rPr>
          <w:b/>
          <w:color w:val="1F3B63"/>
        </w:rPr>
        <w:t>M5 - Satellite comparison methodology</w:t>
      </w:r>
    </w:p>
    <w:p>
      <w:pPr>
        <w:spacing w:after="40"/>
      </w:pPr>
      <w:r>
        <w:rPr>
          <w:b/>
          <w:i/>
        </w:rPr>
        <w:t xml:space="preserve">Reviewer: </w:t>
      </w:r>
      <w:r>
        <w:rPr>
          <w:i/>
        </w:rPr>
        <w:t>Missing: binning resolution, aggregation method, skin-to-bulk correction, and how the peak hour was chosen.</w:t>
      </w:r>
    </w:p>
    <w:p>
      <w:pPr>
        <w:spacing w:after="120"/>
      </w:pPr>
      <w:r>
        <w:rPr>
          <w:b/>
        </w:rPr>
        <w:t xml:space="preserve">Response: </w:t>
      </w:r>
      <w:r>
        <w:t>Section 5.7 now states: the Landsat thermal band is loaded in geographic coordinates at ~30-60 m (basin-dependent) and aggregated onto the model grid by area-mean binning (not nearest-neighbour); the comparison hour is the model's own diurnal basin-mean maximum (close to the early-afternoon overpass), with the satellite UTC stamp shifted into the lake's local zone before matching; and no skin-to-bulk correction was applied - we note the satellite skin runs of order 0.2-0.5 K from the model bulk, small against the 4-5 C warm-lake offset but comparable to the sub-0.2 C winter-control agreement and therefore not to be over-interpreted there.</w:t>
      </w:r>
    </w:p>
    <w:p>
      <w:pPr>
        <w:spacing w:before="160" w:after="40"/>
      </w:pPr>
      <w:r>
        <w:rPr>
          <w:b/>
          <w:color w:val="1F3B63"/>
        </w:rPr>
        <w:t>M6 - Pinned environment file</w:t>
      </w:r>
    </w:p>
    <w:p>
      <w:pPr>
        <w:spacing w:after="40"/>
      </w:pPr>
      <w:r>
        <w:rPr>
          <w:b/>
          <w:i/>
        </w:rPr>
        <w:t xml:space="preserve">Reviewer: </w:t>
      </w:r>
      <w:r>
        <w:rPr>
          <w:i/>
        </w:rPr>
        <w:t>No environment.yml / pinned requirements; minor-version drift can break results.</w:t>
      </w:r>
    </w:p>
    <w:p>
      <w:pPr>
        <w:spacing w:after="120"/>
      </w:pPr>
      <w:r>
        <w:rPr>
          <w:b/>
        </w:rPr>
        <w:t xml:space="preserve">Response: </w:t>
      </w:r>
      <w:r>
        <w:t>A pinned requirements.txt is present at the repository root and is now referenced in Section 3.2 and the Software-availability table. It pins opendrift==1.14.9 and recommends a conda-forge Python 3.11 environment so that rasterio/pyproj bind to a consistent GDAL/PROJ build (the usual cross-platform breakage point); the remaining pure-Python packages tolerate patch-level drift. Python 3.11 and the tested OS (Windows 11 64-bit; also Linux 64-bit) are stated.</w:t>
      </w:r>
    </w:p>
    <w:p>
      <w:pPr>
        <w:spacing w:before="200" w:after="120"/>
      </w:pPr>
      <w:r>
        <w:rPr>
          <w:b/>
          <w:color w:val="1F3B63"/>
          <w:sz w:val="28"/>
        </w:rPr>
        <w:t>3. Minor issues</w:t>
      </w:r>
    </w:p>
    <w:p>
      <w:pPr>
        <w:spacing w:before="160" w:after="40"/>
      </w:pPr>
      <w:r>
        <w:rPr>
          <w:b/>
          <w:color w:val="1F3B63"/>
        </w:rPr>
        <w:t>m1 - Eq. (8) cos(phi) placement</w:t>
      </w:r>
    </w:p>
    <w:p>
      <w:pPr>
        <w:spacing w:after="40"/>
      </w:pPr>
      <w:r>
        <w:rPr>
          <w:b/>
          <w:i/>
        </w:rPr>
        <w:t xml:space="preserve">Reviewer: </w:t>
      </w:r>
      <w:r>
        <w:rPr>
          <w:i/>
        </w:rPr>
        <w:t>The cos(phi) factor appears inside the squared longitude term and may be dimensionally inconsistent.</w:t>
      </w:r>
    </w:p>
    <w:p>
      <w:pPr>
        <w:spacing w:after="120"/>
      </w:pPr>
      <w:r>
        <w:rPr>
          <w:b/>
        </w:rPr>
        <w:t xml:space="preserve">Response: </w:t>
      </w:r>
      <w:r>
        <w:t>We checked the typeset equation against the code (make_equations.py / omml_equations.py and the demo distance metric). The form is correct: D = sqrt( [(lon_i-lon_0)*cos(phi)*Re]^2 + [(lat_i-lat_0)*Re]^2 ). The cos(phi) multiplies only the longitude difference, inside its own bracket, before scaling by Re (km/deg) - this is the standard equirectangular approximation and is dimensionally consistent (deg x dimensionless x km/deg = km). No change was required; we have re-verified the rendering.</w:t>
      </w:r>
    </w:p>
    <w:p>
      <w:pPr>
        <w:spacing w:before="160" w:after="40"/>
      </w:pPr>
      <w:r>
        <w:rPr>
          <w:b/>
          <w:color w:val="1F3B63"/>
        </w:rPr>
        <w:t>m2 - z-level set hard-coded</w:t>
      </w:r>
    </w:p>
    <w:p>
      <w:pPr>
        <w:spacing w:after="40"/>
      </w:pPr>
      <w:r>
        <w:rPr>
          <w:b/>
          <w:i/>
        </w:rPr>
        <w:t xml:space="preserve">Reviewer: </w:t>
      </w:r>
      <w:r>
        <w:rPr>
          <w:i/>
        </w:rPr>
        <w:t>The output z-levels are not exposed as a parameter; a deep/benthic application cannot change them without editing source.</w:t>
      </w:r>
    </w:p>
    <w:p>
      <w:pPr>
        <w:spacing w:after="120"/>
      </w:pPr>
      <w:r>
        <w:rPr>
          <w:b/>
        </w:rPr>
        <w:t xml:space="preserve">Response: </w:t>
      </w:r>
      <w:r>
        <w:t>Section 2.5 now states that the target set is a single exposed parameter (Z_LEVELS in cf_export.py, overridable from the exporter's command line), changeable in one place for deep or near-bed applications (e.g. Lake Baikal) without altering the reconstruction logic.</w:t>
      </w:r>
    </w:p>
    <w:p>
      <w:pPr>
        <w:spacing w:before="160" w:after="40"/>
      </w:pPr>
      <w:r>
        <w:rPr>
          <w:b/>
          <w:color w:val="1F3B63"/>
        </w:rPr>
        <w:t>m3 - Humidity accuracy overstated</w:t>
      </w:r>
    </w:p>
    <w:p>
      <w:pPr>
        <w:spacing w:after="40"/>
      </w:pPr>
      <w:r>
        <w:rPr>
          <w:b/>
          <w:i/>
        </w:rPr>
        <w:t xml:space="preserve">Reviewer: </w:t>
      </w:r>
      <w:r>
        <w:rPr>
          <w:i/>
        </w:rPr>
        <w:t>The 0.4% figure is the saturation-vapour-pressure error, not the RH error.</w:t>
      </w:r>
    </w:p>
    <w:p>
      <w:pPr>
        <w:spacing w:after="120"/>
      </w:pPr>
      <w:r>
        <w:rPr>
          <w:b/>
        </w:rPr>
        <w:t xml:space="preserve">Response: </w:t>
      </w:r>
      <w:r>
        <w:t>Section 2.3 now states the 0.4% is the saturation-vapour-pressure error optimised by Alduchov and Eskridge (1996), and adds that the RH error - a ratio of two such approximations - can exceed this under large dew-point depressions, while remaining small for the near-surface lake conditions sampled here.</w:t>
      </w:r>
    </w:p>
    <w:p>
      <w:pPr>
        <w:spacing w:before="160" w:after="40"/>
      </w:pPr>
      <w:r>
        <w:rPr>
          <w:b/>
          <w:color w:val="1F3B63"/>
        </w:rPr>
        <w:t>m4 - Spearman robustness to Polyfytos</w:t>
      </w:r>
    </w:p>
    <w:p>
      <w:pPr>
        <w:spacing w:after="40"/>
      </w:pPr>
      <w:r>
        <w:rPr>
          <w:b/>
          <w:i/>
        </w:rPr>
        <w:t xml:space="preserve">Reviewer: </w:t>
      </w:r>
      <w:r>
        <w:rPr>
          <w:i/>
        </w:rPr>
        <w:t>With n=12, report area-vs-drift rho and p with and without the Polyfytos outlier.</w:t>
      </w:r>
    </w:p>
    <w:p>
      <w:pPr>
        <w:spacing w:after="120"/>
      </w:pPr>
      <w:r>
        <w:rPr>
          <w:b/>
        </w:rPr>
        <w:t xml:space="preserve">Response: </w:t>
      </w:r>
      <w:r>
        <w:t>Section 5.3 and the Conclusions now report that excluding Polyfytos the primary area-drift correlation weakens from rho=+0.63 (p=0.03) to rho=+0.54 (p=0.09) - same sign and magnitude, but no longer significant at 5% - so the twelve-lake significance is partly carried by the hand-built outlier; the relation is presented as a coherent tendency rather than a law. The other predictors are essentially unchanged by the exclusion (reported in Section 5.3).</w:t>
      </w:r>
    </w:p>
    <w:p>
      <w:pPr>
        <w:spacing w:before="160" w:after="40"/>
      </w:pPr>
      <w:r>
        <w:rPr>
          <w:b/>
          <w:color w:val="1F3B63"/>
        </w:rPr>
        <w:t>m5 - Parcels compatibility claim</w:t>
      </w:r>
    </w:p>
    <w:p>
      <w:pPr>
        <w:spacing w:after="40"/>
      </w:pPr>
      <w:r>
        <w:rPr>
          <w:b/>
          <w:i/>
        </w:rPr>
        <w:t xml:space="preserve">Reviewer: </w:t>
      </w:r>
      <w:r>
        <w:rPr>
          <w:i/>
        </w:rPr>
        <w:t>Either remove the Parcels claim or add a tested Parcels run and document the version.</w:t>
      </w:r>
    </w:p>
    <w:p>
      <w:pPr>
        <w:spacing w:after="120"/>
      </w:pPr>
      <w:r>
        <w:rPr>
          <w:b/>
        </w:rPr>
        <w:t xml:space="preserve">Response: </w:t>
      </w:r>
      <w:r>
        <w:t>We chose to confine the claim to a stated expectation / future-work note. Section 5.5 now says only the OpenDrift path (1.14.9) is demonstrated and tested; Parcels compatibility is expected by construction from the CF interface but is explicitly unverified, and Parcels is not listed as a tested dependency in the Software-availability table.</w:t>
      </w:r>
    </w:p>
    <w:p>
      <w:pPr>
        <w:spacing w:before="200" w:after="120"/>
      </w:pPr>
      <w:r>
        <w:rPr>
          <w:b/>
          <w:color w:val="1F3B63"/>
          <w:sz w:val="28"/>
        </w:rPr>
        <w:t>4. Questions for the authors</w:t>
      </w:r>
    </w:p>
    <w:p>
      <w:pPr>
        <w:spacing w:before="160" w:after="40"/>
      </w:pPr>
      <w:r>
        <w:rPr>
          <w:b/>
          <w:color w:val="1F3B63"/>
        </w:rPr>
        <w:t>Q1 - SWAN grid for Polyfytos</w:t>
      </w:r>
    </w:p>
    <w:p>
      <w:pPr>
        <w:spacing w:after="40"/>
      </w:pPr>
      <w:r>
        <w:rPr>
          <w:b/>
          <w:i/>
        </w:rPr>
        <w:t xml:space="preserve">Reviewer: </w:t>
      </w:r>
      <w:r>
        <w:rPr>
          <w:i/>
        </w:rPr>
        <w:t>For the clockwise hand-built FLOW grid, does SWAN use the pipeline's CCW grid, and does mapping back introduce extra interpolation error?</w:t>
      </w:r>
    </w:p>
    <w:p>
      <w:pPr>
        <w:spacing w:after="120"/>
      </w:pPr>
      <w:r>
        <w:rPr>
          <w:b/>
        </w:rPr>
        <w:t xml:space="preserve">Response: </w:t>
      </w:r>
      <w:r>
        <w:t>SWAN runs on the pipeline's own counter-clockwise grid. There is no back-mapping onto the FLOW domain: the exporter regrids the FLOW fields and the SWAN fields independently onto the common regular lon/lat raster of Section 2.5, so each field undergoes only the single curvilinear/CCW-to-regular step already bounded there, and no additional interpolation error is incurred. We added this clarification to Section 5.6.</w:t>
      </w:r>
    </w:p>
    <w:p>
      <w:pPr>
        <w:spacing w:before="160" w:after="40"/>
      </w:pPr>
      <w:r>
        <w:rPr>
          <w:b/>
          <w:color w:val="1F3B63"/>
        </w:rPr>
        <w:t>Q2 - 35 C cap and transport statistics</w:t>
      </w:r>
    </w:p>
    <w:p>
      <w:pPr>
        <w:spacing w:after="40"/>
      </w:pPr>
      <w:r>
        <w:rPr>
          <w:b/>
          <w:i/>
        </w:rPr>
        <w:t xml:space="preserve">Reviewer: </w:t>
      </w:r>
      <w:r>
        <w:rPr>
          <w:i/>
        </w:rPr>
        <w:t>Does the temperature cap affect any lake's drift; are reported drifts post-cap?</w:t>
      </w:r>
    </w:p>
    <w:p>
      <w:pPr>
        <w:spacing w:after="120"/>
      </w:pPr>
      <w:r>
        <w:rPr>
          <w:b/>
        </w:rPr>
        <w:t xml:space="preserve">Response: </w:t>
      </w:r>
      <w:r>
        <w:t>The reported drifts are computed on the exported (post-cap) fields, but they are unaffected by the cap: advection is driven by currents, surface Stokes drift and wind - none of which the cap touches - not by the temperature field. The cap only suppresses isolated thin-cell shoreline temperature spikes. Added explicitly to Section 5.4.</w:t>
      </w:r>
    </w:p>
    <w:p>
      <w:pPr>
        <w:spacing w:before="160" w:after="40"/>
      </w:pPr>
      <w:r>
        <w:rPr>
          <w:b/>
          <w:color w:val="1F3B63"/>
        </w:rPr>
        <w:t>Q3 - Manuscript regenerated by the pipeline</w:t>
      </w:r>
    </w:p>
    <w:p>
      <w:pPr>
        <w:spacing w:after="40"/>
      </w:pPr>
      <w:r>
        <w:rPr>
          <w:b/>
          <w:i/>
        </w:rPr>
        <w:t xml:space="preserve">Reviewer: </w:t>
      </w:r>
      <w:r>
        <w:rPr>
          <w:i/>
        </w:rPr>
        <w:t>Does build_docx.py generate the submitted .docx; can the equations/figures be rebuilt bit-identically?</w:t>
      </w:r>
    </w:p>
    <w:p>
      <w:pPr>
        <w:spacing w:after="120"/>
      </w:pPr>
      <w:r>
        <w:rPr>
          <w:b/>
        </w:rPr>
        <w:t xml:space="preserve">Response: </w:t>
      </w:r>
      <w:r>
        <w:t>Yes. The submitted .docx is the output of build_docx.py rendering paper/CAGEO_manuscript.md; equations are emitted as native Office Math (OMML) from omml_equations.py and the figures are the files written by make_figures.py, so the displayed equations and figures are by construction identical to the pipeline's output. The README documents the single rebuild command. Noted in Section 3.1.</w:t>
      </w:r>
    </w:p>
    <w:p>
      <w:pPr>
        <w:spacing w:before="160" w:after="40"/>
      </w:pPr>
      <w:r>
        <w:rPr>
          <w:b/>
          <w:color w:val="1F3B63"/>
        </w:rPr>
        <w:t>Q4 - River-discharge feature documented/tested</w:t>
      </w:r>
    </w:p>
    <w:p>
      <w:pPr>
        <w:spacing w:after="40"/>
      </w:pPr>
      <w:r>
        <w:rPr>
          <w:b/>
          <w:i/>
        </w:rPr>
        <w:t xml:space="preserve">Reviewer: </w:t>
      </w:r>
      <w:r>
        <w:rPr>
          <w:i/>
        </w:rPr>
        <w:t>Is the optional river-discharge boundary documented and tested in the repository?</w:t>
      </w:r>
    </w:p>
    <w:p>
      <w:pPr>
        <w:spacing w:after="120"/>
      </w:pPr>
      <w:r>
        <w:rPr>
          <w:b/>
        </w:rPr>
        <w:t xml:space="preserve">Response: </w:t>
      </w:r>
      <w:r>
        <w:t>River discharge is supported as an optional open-boundary condition (used for the Polyfytos comparison, configured via _build_river_config.py). It is exercised in that benchmark but is not covered by the CI test; this is now flagged as an "Optional features" row in the Software-availability table and stated in Section 3.2.</w:t>
      </w:r>
    </w:p>
    <w:p>
      <w:pPr>
        <w:spacing w:before="200" w:after="120"/>
      </w:pPr>
      <w:r>
        <w:rPr>
          <w:b/>
          <w:color w:val="1F3B63"/>
          <w:sz w:val="28"/>
        </w:rPr>
        <w:t>5. Editorial notes</w:t>
      </w:r>
    </w:p>
    <w:p>
      <w:pPr>
        <w:spacing w:before="0" w:after="120"/>
      </w:pPr>
      <w:r>
        <w:rPr>
          <w:i w:val="0"/>
        </w:rPr>
        <w:t>All editorial suggestions were adopted: (i) the abstract now attributes the 0.85 C RMSE to the expert-built reference model rather than to observations; (ii) Table 1's tracker-reader row was reworded to "Tracker native readers (e.g., ROMS-format, generic CF) - no Delft3D reader available; sigma-fields not directly ingestible", avoiding any implication that OpenDrift is deficient; (iii) Section 2.4 and Table 2 now read "Dalton number 0.0013 and Stanton number 0.0013" (both dimensionless bulk transfer coefficients); (iv) Section 5.2 "make ... and exercise" -&gt; "makes ... and exercises". On equation typesetting: in the source pipeline the display equations are numbered Office Math (OMML) objects rendered by omml_equations.py, not table cells, so they are already proper, sequentially numbered equation objects; this transfers directly to the Elsevier template.</w:t>
      </w:r>
    </w:p>
    <w:p>
      <w:pPr>
        <w:spacing w:before="160" w:after="120"/>
      </w:pPr>
      <w:r>
        <w:rPr>
          <w:i w:val="0"/>
        </w:rPr>
        <w:t>We believe these revisions fully resolve the Essential and Major points and close every item on the reproducibility checklist. We are grateful for the review, which has materially improved the transparency and reusability of the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