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91B" w:rsidRPr="002F3A71" w:rsidRDefault="00481254">
      <w:pPr>
        <w:pStyle w:val="Ttulo"/>
        <w:rPr>
          <w:lang w:val="es-MX"/>
        </w:rPr>
      </w:pPr>
      <w:r w:rsidRPr="002F3A71">
        <w:rPr>
          <w:lang w:val="es-MX"/>
        </w:rPr>
        <w:t>PHARMACORE: SISTEMA INTEGRAL DE GESTIÓN DE FARMACIA</w:t>
      </w:r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t>Documento Técnico y Corporativo</w:t>
      </w:r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t xml:space="preserve">Presentado por: Equipo de Desarrollo </w:t>
      </w:r>
      <w:proofErr w:type="spellStart"/>
      <w:r w:rsidRPr="002F3A71">
        <w:rPr>
          <w:lang w:val="es-MX"/>
        </w:rPr>
        <w:t>PharmaCore</w:t>
      </w:r>
      <w:proofErr w:type="spellEnd"/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t>Institución: Servicio Nacional de Aprendizaje (SENA)</w:t>
      </w:r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t>Fecha: 29 de julio de 2026</w:t>
      </w:r>
    </w:p>
    <w:p w:rsidR="0015791B" w:rsidRPr="002F3A71" w:rsidRDefault="00481254">
      <w:pPr>
        <w:pStyle w:val="Ttulo1"/>
        <w:rPr>
          <w:lang w:val="es-MX"/>
        </w:rPr>
      </w:pPr>
      <w:r w:rsidRPr="002F3A71">
        <w:rPr>
          <w:lang w:val="es-MX"/>
        </w:rPr>
        <w:t>1. Introducción</w:t>
      </w:r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t>La gestión eficiente de los</w:t>
      </w:r>
      <w:r w:rsidRPr="002F3A71">
        <w:rPr>
          <w:lang w:val="es-MX"/>
        </w:rPr>
        <w:t xml:space="preserve"> establecimientos farmacéuticos requiere herramientas tecnológicas que garanticen precisión en el inventario, seguridad en la dispensación y agilidad en la atención. </w:t>
      </w:r>
      <w:proofErr w:type="spellStart"/>
      <w:r w:rsidRPr="002F3A71">
        <w:rPr>
          <w:lang w:val="es-MX"/>
        </w:rPr>
        <w:t>PharmaCore</w:t>
      </w:r>
      <w:proofErr w:type="spellEnd"/>
      <w:r w:rsidRPr="002F3A71">
        <w:rPr>
          <w:lang w:val="es-MX"/>
        </w:rPr>
        <w:t xml:space="preserve"> nace como una solución de software web diseñada para centralizar y optimizar lo</w:t>
      </w:r>
      <w:r w:rsidRPr="002F3A71">
        <w:rPr>
          <w:lang w:val="es-MX"/>
        </w:rPr>
        <w:t>s procesos administrativos y operativos de una farmacia, asegurando la trazabilidad de cada producto desde su ingreso hasta su venta o devolución.</w:t>
      </w:r>
    </w:p>
    <w:p w:rsidR="0015791B" w:rsidRPr="002F3A71" w:rsidRDefault="00481254">
      <w:pPr>
        <w:pStyle w:val="Ttulo1"/>
        <w:rPr>
          <w:lang w:val="es-MX"/>
        </w:rPr>
      </w:pPr>
      <w:r w:rsidRPr="002F3A71">
        <w:rPr>
          <w:lang w:val="es-MX"/>
        </w:rPr>
        <w:t>2. Visión General del Producto</w:t>
      </w:r>
    </w:p>
    <w:p w:rsidR="0015791B" w:rsidRPr="002F3A71" w:rsidRDefault="00481254">
      <w:pPr>
        <w:rPr>
          <w:lang w:val="es-MX"/>
        </w:rPr>
      </w:pPr>
      <w:proofErr w:type="spellStart"/>
      <w:r w:rsidRPr="002F3A71">
        <w:rPr>
          <w:lang w:val="es-MX"/>
        </w:rPr>
        <w:t>PharmaCore</w:t>
      </w:r>
      <w:proofErr w:type="spellEnd"/>
      <w:r w:rsidRPr="002F3A71">
        <w:rPr>
          <w:lang w:val="es-MX"/>
        </w:rPr>
        <w:t xml:space="preserve"> es un sistema integral de gestión orientado a administrar clientes,</w:t>
      </w:r>
      <w:r w:rsidRPr="002F3A71">
        <w:rPr>
          <w:lang w:val="es-MX"/>
        </w:rPr>
        <w:t xml:space="preserve"> empleados, proveedores, medicamentos, productos de cuidado personal, inventario, compras, ventas y fórmulas médicas. El sistema contempla aspectos críticos del sector como fechas de vencimiento, lotes, registros sanitarios INVIMA y la distinción entre med</w:t>
      </w:r>
      <w:r w:rsidRPr="002F3A71">
        <w:rPr>
          <w:lang w:val="es-MX"/>
        </w:rPr>
        <w:t>icamentos de venta libre y bajo prescripción.</w:t>
      </w:r>
    </w:p>
    <w:p w:rsidR="0015791B" w:rsidRPr="002F3A71" w:rsidRDefault="00481254">
      <w:pPr>
        <w:pStyle w:val="Ttulo1"/>
        <w:rPr>
          <w:lang w:val="es-MX"/>
        </w:rPr>
      </w:pPr>
      <w:r w:rsidRPr="002F3A71">
        <w:rPr>
          <w:lang w:val="es-MX"/>
        </w:rPr>
        <w:t>3. Identidad de Marca (</w:t>
      </w:r>
      <w:proofErr w:type="spellStart"/>
      <w:r w:rsidRPr="002F3A71">
        <w:rPr>
          <w:lang w:val="es-MX"/>
        </w:rPr>
        <w:t>Branding</w:t>
      </w:r>
      <w:proofErr w:type="spellEnd"/>
      <w:r w:rsidRPr="002F3A71">
        <w:rPr>
          <w:lang w:val="es-MX"/>
        </w:rPr>
        <w:t>)</w:t>
      </w:r>
    </w:p>
    <w:p w:rsidR="0015791B" w:rsidRPr="002F3A71" w:rsidRDefault="00481254">
      <w:pPr>
        <w:pStyle w:val="Ttulo2"/>
        <w:rPr>
          <w:lang w:val="es-MX"/>
        </w:rPr>
      </w:pPr>
      <w:r w:rsidRPr="002F3A71">
        <w:rPr>
          <w:lang w:val="es-MX"/>
        </w:rPr>
        <w:t>3.1 Logotipo Institucional</w:t>
      </w:r>
    </w:p>
    <w:p w:rsidR="002F3A71" w:rsidRDefault="00481254">
      <w:pPr>
        <w:rPr>
          <w:lang w:val="es-MX"/>
        </w:rPr>
      </w:pPr>
      <w:r w:rsidRPr="002F3A71">
        <w:rPr>
          <w:lang w:val="es-MX"/>
        </w:rPr>
        <w:t xml:space="preserve">Nombre de la Marca: </w:t>
      </w:r>
      <w:proofErr w:type="spellStart"/>
      <w:r w:rsidRPr="002F3A71">
        <w:rPr>
          <w:lang w:val="es-MX"/>
        </w:rPr>
        <w:t>PharmaCore</w:t>
      </w:r>
      <w:proofErr w:type="spellEnd"/>
      <w:r w:rsidRPr="002F3A71">
        <w:rPr>
          <w:lang w:val="es-MX"/>
        </w:rPr>
        <w:t>.</w:t>
      </w:r>
    </w:p>
    <w:p w:rsidR="002F3A71" w:rsidRPr="002F3A71" w:rsidRDefault="002F3A71">
      <w:pPr>
        <w:rPr>
          <w:lang w:val="es-MX"/>
        </w:rPr>
      </w:pPr>
      <w:r>
        <w:rPr>
          <w:lang w:val="es-MX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2.75pt;height:126.75pt">
            <v:imagedata r:id="rId6" o:title="img"/>
          </v:shape>
        </w:pict>
      </w:r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lastRenderedPageBreak/>
        <w:t>Eslogan: "Administración de farmacias ágil, normativa y libre de errores".</w:t>
      </w:r>
    </w:p>
    <w:p w:rsidR="0015791B" w:rsidRDefault="00481254">
      <w:pPr>
        <w:pStyle w:val="Ttulo2"/>
      </w:pPr>
      <w:r>
        <w:t xml:space="preserve">3.2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Colores</w:t>
      </w:r>
      <w:proofErr w:type="spellEnd"/>
      <w:r>
        <w:t xml:space="preserve"> Institucionales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4"/>
        <w:gridCol w:w="2433"/>
        <w:gridCol w:w="2521"/>
        <w:gridCol w:w="1428"/>
      </w:tblGrid>
      <w:tr w:rsidR="0015791B">
        <w:tc>
          <w:tcPr>
            <w:tcW w:w="2880" w:type="dxa"/>
          </w:tcPr>
          <w:p w:rsidR="0015791B" w:rsidRDefault="00481254">
            <w:r>
              <w:t>Rol</w:t>
            </w:r>
          </w:p>
        </w:tc>
        <w:tc>
          <w:tcPr>
            <w:tcW w:w="2880" w:type="dxa"/>
          </w:tcPr>
          <w:p w:rsidR="0015791B" w:rsidRDefault="00481254">
            <w:r>
              <w:t>Cód</w:t>
            </w:r>
            <w:r>
              <w:t>igo Hex</w:t>
            </w:r>
          </w:p>
        </w:tc>
        <w:tc>
          <w:tcPr>
            <w:tcW w:w="2880" w:type="dxa"/>
          </w:tcPr>
          <w:p w:rsidR="0015791B" w:rsidRDefault="00481254">
            <w:r>
              <w:t>Uso Principal</w:t>
            </w:r>
          </w:p>
        </w:tc>
        <w:tc>
          <w:tcPr>
            <w:tcW w:w="1575" w:type="dxa"/>
          </w:tcPr>
          <w:p w:rsidR="0015791B" w:rsidRDefault="00481254">
            <w:r>
              <w:t>Muestra</w:t>
            </w:r>
          </w:p>
        </w:tc>
      </w:tr>
      <w:tr w:rsidR="0015791B" w:rsidRPr="002F3A71">
        <w:tc>
          <w:tcPr>
            <w:tcW w:w="2880" w:type="dxa"/>
          </w:tcPr>
          <w:p w:rsidR="0015791B" w:rsidRDefault="00481254">
            <w:r>
              <w:t>Primario</w:t>
            </w:r>
          </w:p>
        </w:tc>
        <w:tc>
          <w:tcPr>
            <w:tcW w:w="2880" w:type="dxa"/>
          </w:tcPr>
          <w:p w:rsidR="0015791B" w:rsidRDefault="00481254">
            <w:r>
              <w:t>#004B4B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>Color principal de la marca; empleado en elementos estructurales y de mayor jerarquía visual.</w:t>
            </w:r>
          </w:p>
        </w:tc>
        <w:tc>
          <w:tcPr>
            <w:tcW w:w="1575" w:type="dxa"/>
            <w:shd w:val="clear" w:color="auto" w:fill="006565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 xml:space="preserve">        </w:t>
            </w:r>
          </w:p>
        </w:tc>
      </w:tr>
      <w:tr w:rsidR="0015791B" w:rsidRPr="002F3A71">
        <w:tc>
          <w:tcPr>
            <w:tcW w:w="2880" w:type="dxa"/>
          </w:tcPr>
          <w:p w:rsidR="0015791B" w:rsidRDefault="00481254">
            <w:proofErr w:type="spellStart"/>
            <w:r>
              <w:t>Secundario</w:t>
            </w:r>
            <w:proofErr w:type="spellEnd"/>
          </w:p>
        </w:tc>
        <w:tc>
          <w:tcPr>
            <w:tcW w:w="2880" w:type="dxa"/>
          </w:tcPr>
          <w:p w:rsidR="0015791B" w:rsidRDefault="00481254">
            <w:r>
              <w:t>#006565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>Color de soporte (</w:t>
            </w:r>
            <w:proofErr w:type="spellStart"/>
            <w:r w:rsidRPr="002F3A71">
              <w:rPr>
                <w:lang w:val="es-MX"/>
              </w:rPr>
              <w:t>Teal</w:t>
            </w:r>
            <w:proofErr w:type="spellEnd"/>
            <w:r w:rsidRPr="002F3A71">
              <w:rPr>
                <w:lang w:val="es-MX"/>
              </w:rPr>
              <w:t>/Menta oscuro); transmite la parte médica y tecnológica.</w:t>
            </w:r>
          </w:p>
        </w:tc>
        <w:tc>
          <w:tcPr>
            <w:tcW w:w="1575" w:type="dxa"/>
            <w:shd w:val="clear" w:color="auto" w:fill="008080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 xml:space="preserve">        </w:t>
            </w:r>
          </w:p>
        </w:tc>
      </w:tr>
      <w:tr w:rsidR="0015791B" w:rsidRPr="002F3A71">
        <w:tc>
          <w:tcPr>
            <w:tcW w:w="2880" w:type="dxa"/>
          </w:tcPr>
          <w:p w:rsidR="0015791B" w:rsidRDefault="00481254">
            <w:proofErr w:type="spellStart"/>
            <w:r>
              <w:t>Acciones</w:t>
            </w:r>
            <w:proofErr w:type="spellEnd"/>
          </w:p>
        </w:tc>
        <w:tc>
          <w:tcPr>
            <w:tcW w:w="2880" w:type="dxa"/>
          </w:tcPr>
          <w:p w:rsidR="0015791B" w:rsidRDefault="00481254">
            <w:r>
              <w:t>#006565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>Color de acento para llamadas a la acción (botones) y elementos interactivos.</w:t>
            </w:r>
          </w:p>
        </w:tc>
        <w:tc>
          <w:tcPr>
            <w:tcW w:w="1575" w:type="dxa"/>
            <w:shd w:val="clear" w:color="auto" w:fill="0EA5E9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 xml:space="preserve">        </w:t>
            </w:r>
          </w:p>
        </w:tc>
      </w:tr>
      <w:tr w:rsidR="0015791B" w:rsidRPr="002F3A71">
        <w:tc>
          <w:tcPr>
            <w:tcW w:w="2880" w:type="dxa"/>
          </w:tcPr>
          <w:p w:rsidR="0015791B" w:rsidRDefault="00481254">
            <w:r>
              <w:t>Surface C.</w:t>
            </w:r>
          </w:p>
        </w:tc>
        <w:tc>
          <w:tcPr>
            <w:tcW w:w="2880" w:type="dxa"/>
          </w:tcPr>
          <w:p w:rsidR="0015791B" w:rsidRDefault="00481254">
            <w:r>
              <w:t>#F7FAF9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>Tonos neutros para fondos generales, tarjetas y paneles de la interfaz.</w:t>
            </w:r>
          </w:p>
        </w:tc>
        <w:tc>
          <w:tcPr>
            <w:tcW w:w="1575" w:type="dxa"/>
            <w:shd w:val="clear" w:color="auto" w:fill="EBEFEE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 xml:space="preserve">        </w:t>
            </w:r>
          </w:p>
        </w:tc>
      </w:tr>
    </w:tbl>
    <w:p w:rsidR="0015791B" w:rsidRPr="002F3A71" w:rsidRDefault="00481254">
      <w:pPr>
        <w:pStyle w:val="Ttulo2"/>
        <w:rPr>
          <w:lang w:val="es-MX"/>
        </w:rPr>
      </w:pPr>
      <w:r w:rsidRPr="002F3A71">
        <w:rPr>
          <w:lang w:val="es-MX"/>
        </w:rPr>
        <w:t>3.3 Tipografía y Estilos de Texto</w:t>
      </w:r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t xml:space="preserve">Familia Tipográfica: </w:t>
      </w:r>
      <w:proofErr w:type="spellStart"/>
      <w:r w:rsidRPr="002F3A71">
        <w:rPr>
          <w:lang w:val="es-MX"/>
        </w:rPr>
        <w:t>Poppins</w:t>
      </w:r>
      <w:proofErr w:type="spellEnd"/>
      <w:r w:rsidRPr="002F3A71">
        <w:rPr>
          <w:lang w:val="es-MX"/>
        </w:rPr>
        <w:t>.</w:t>
      </w:r>
    </w:p>
    <w:p w:rsidR="0015791B" w:rsidRPr="002F3A71" w:rsidRDefault="00481254">
      <w:pPr>
        <w:rPr>
          <w:lang w:val="es-MX"/>
        </w:rPr>
      </w:pPr>
      <w:r w:rsidRPr="002F3A71">
        <w:rPr>
          <w:lang w:val="es-MX"/>
        </w:rPr>
        <w:t>Justificación: Selección estratégica basada en su optimización para interfaces digitales. Su diseño equilibrado y legible garantiza una experiencia de usuario clara, manteniendo una estética profesional, moderna y funcional.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791B">
        <w:tc>
          <w:tcPr>
            <w:tcW w:w="2880" w:type="dxa"/>
          </w:tcPr>
          <w:p w:rsidR="0015791B" w:rsidRDefault="00481254">
            <w:proofErr w:type="spellStart"/>
            <w:r>
              <w:t>E</w:t>
            </w:r>
            <w:r>
              <w:t>stilo</w:t>
            </w:r>
            <w:proofErr w:type="spellEnd"/>
          </w:p>
        </w:tc>
        <w:tc>
          <w:tcPr>
            <w:tcW w:w="2880" w:type="dxa"/>
          </w:tcPr>
          <w:p w:rsidR="0015791B" w:rsidRDefault="00481254">
            <w:r>
              <w:t>Tamaño / Line-height</w:t>
            </w:r>
          </w:p>
        </w:tc>
        <w:tc>
          <w:tcPr>
            <w:tcW w:w="2880" w:type="dxa"/>
          </w:tcPr>
          <w:p w:rsidR="0015791B" w:rsidRDefault="00481254">
            <w:r>
              <w:t>Aplicación</w:t>
            </w:r>
          </w:p>
        </w:tc>
      </w:tr>
      <w:tr w:rsidR="0015791B">
        <w:tc>
          <w:tcPr>
            <w:tcW w:w="2880" w:type="dxa"/>
          </w:tcPr>
          <w:p w:rsidR="0015791B" w:rsidRDefault="00481254">
            <w:r>
              <w:t>Heading 1</w:t>
            </w:r>
          </w:p>
        </w:tc>
        <w:tc>
          <w:tcPr>
            <w:tcW w:w="2880" w:type="dxa"/>
          </w:tcPr>
          <w:p w:rsidR="0015791B" w:rsidRDefault="00481254">
            <w:r>
              <w:t>48 / 48 px</w:t>
            </w:r>
          </w:p>
        </w:tc>
        <w:tc>
          <w:tcPr>
            <w:tcW w:w="2880" w:type="dxa"/>
          </w:tcPr>
          <w:p w:rsidR="0015791B" w:rsidRDefault="00481254">
            <w:r>
              <w:t>Encabezados principales</w:t>
            </w:r>
          </w:p>
        </w:tc>
      </w:tr>
      <w:tr w:rsidR="0015791B">
        <w:tc>
          <w:tcPr>
            <w:tcW w:w="2880" w:type="dxa"/>
          </w:tcPr>
          <w:p w:rsidR="0015791B" w:rsidRDefault="00481254">
            <w:r>
              <w:t>Heading 2</w:t>
            </w:r>
          </w:p>
        </w:tc>
        <w:tc>
          <w:tcPr>
            <w:tcW w:w="2880" w:type="dxa"/>
          </w:tcPr>
          <w:p w:rsidR="0015791B" w:rsidRDefault="00481254">
            <w:r>
              <w:t>36 / 40 px</w:t>
            </w:r>
          </w:p>
        </w:tc>
        <w:tc>
          <w:tcPr>
            <w:tcW w:w="2880" w:type="dxa"/>
          </w:tcPr>
          <w:p w:rsidR="0015791B" w:rsidRDefault="00481254">
            <w:r>
              <w:t>Títulos de secciones</w:t>
            </w:r>
          </w:p>
        </w:tc>
      </w:tr>
      <w:tr w:rsidR="0015791B">
        <w:tc>
          <w:tcPr>
            <w:tcW w:w="2880" w:type="dxa"/>
          </w:tcPr>
          <w:p w:rsidR="0015791B" w:rsidRDefault="00481254">
            <w:r>
              <w:t>Heading 3</w:t>
            </w:r>
          </w:p>
        </w:tc>
        <w:tc>
          <w:tcPr>
            <w:tcW w:w="2880" w:type="dxa"/>
          </w:tcPr>
          <w:p w:rsidR="0015791B" w:rsidRDefault="00481254">
            <w:r>
              <w:t>24 / 32 px</w:t>
            </w:r>
          </w:p>
        </w:tc>
        <w:tc>
          <w:tcPr>
            <w:tcW w:w="2880" w:type="dxa"/>
          </w:tcPr>
          <w:p w:rsidR="0015791B" w:rsidRDefault="00481254">
            <w:r>
              <w:t>Subtítulos</w:t>
            </w:r>
          </w:p>
        </w:tc>
      </w:tr>
      <w:tr w:rsidR="0015791B">
        <w:tc>
          <w:tcPr>
            <w:tcW w:w="2880" w:type="dxa"/>
          </w:tcPr>
          <w:p w:rsidR="0015791B" w:rsidRDefault="00481254">
            <w:r>
              <w:t>parrafo</w:t>
            </w:r>
          </w:p>
        </w:tc>
        <w:tc>
          <w:tcPr>
            <w:tcW w:w="2880" w:type="dxa"/>
          </w:tcPr>
          <w:p w:rsidR="0015791B" w:rsidRDefault="00481254">
            <w:r>
              <w:t>16 / Auto</w:t>
            </w:r>
          </w:p>
        </w:tc>
        <w:tc>
          <w:tcPr>
            <w:tcW w:w="2880" w:type="dxa"/>
          </w:tcPr>
          <w:p w:rsidR="0015791B" w:rsidRDefault="00481254">
            <w:r>
              <w:t>Cuerpo de texto</w:t>
            </w:r>
          </w:p>
        </w:tc>
      </w:tr>
    </w:tbl>
    <w:p w:rsidR="0015791B" w:rsidRDefault="00481254">
      <w:pPr>
        <w:pStyle w:val="Ttulo1"/>
      </w:pPr>
      <w:r>
        <w:t>4. Arquitectura Tecnológica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791B">
        <w:tc>
          <w:tcPr>
            <w:tcW w:w="2880" w:type="dxa"/>
          </w:tcPr>
          <w:p w:rsidR="0015791B" w:rsidRDefault="00481254">
            <w:r>
              <w:t>Componente</w:t>
            </w:r>
          </w:p>
        </w:tc>
        <w:tc>
          <w:tcPr>
            <w:tcW w:w="2880" w:type="dxa"/>
          </w:tcPr>
          <w:p w:rsidR="0015791B" w:rsidRDefault="00481254">
            <w:r>
              <w:t>Tecnología</w:t>
            </w:r>
          </w:p>
        </w:tc>
        <w:tc>
          <w:tcPr>
            <w:tcW w:w="2880" w:type="dxa"/>
          </w:tcPr>
          <w:p w:rsidR="0015791B" w:rsidRDefault="00481254">
            <w:r>
              <w:t>Función en</w:t>
            </w:r>
            <w:r>
              <w:t xml:space="preserve"> la Arquitectura</w:t>
            </w:r>
          </w:p>
        </w:tc>
      </w:tr>
      <w:tr w:rsidR="0015791B" w:rsidRPr="002F3A71">
        <w:tc>
          <w:tcPr>
            <w:tcW w:w="2880" w:type="dxa"/>
          </w:tcPr>
          <w:p w:rsidR="0015791B" w:rsidRDefault="00481254">
            <w:r>
              <w:t>Backend</w:t>
            </w:r>
          </w:p>
        </w:tc>
        <w:tc>
          <w:tcPr>
            <w:tcW w:w="2880" w:type="dxa"/>
          </w:tcPr>
          <w:p w:rsidR="0015791B" w:rsidRDefault="00481254">
            <w:r>
              <w:t>Spring Boot (Java)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>Lógica de negocio, conexiones seguras y administración del servidor de aplicaciones.</w:t>
            </w:r>
          </w:p>
        </w:tc>
      </w:tr>
      <w:tr w:rsidR="0015791B" w:rsidRPr="002F3A71">
        <w:tc>
          <w:tcPr>
            <w:tcW w:w="2880" w:type="dxa"/>
          </w:tcPr>
          <w:p w:rsidR="0015791B" w:rsidRDefault="00481254">
            <w:r>
              <w:t xml:space="preserve">Motor de </w:t>
            </w:r>
            <w:proofErr w:type="spellStart"/>
            <w:r>
              <w:t>Plantillas</w:t>
            </w:r>
            <w:proofErr w:type="spellEnd"/>
          </w:p>
        </w:tc>
        <w:tc>
          <w:tcPr>
            <w:tcW w:w="2880" w:type="dxa"/>
          </w:tcPr>
          <w:p w:rsidR="0015791B" w:rsidRDefault="00481254">
            <w:r>
              <w:t>Thymeleaf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>Integración dinámica de datos procedentes del servidor en las interfaces de usuario.</w:t>
            </w:r>
          </w:p>
        </w:tc>
      </w:tr>
      <w:tr w:rsidR="0015791B" w:rsidRPr="002F3A71">
        <w:tc>
          <w:tcPr>
            <w:tcW w:w="2880" w:type="dxa"/>
          </w:tcPr>
          <w:p w:rsidR="0015791B" w:rsidRDefault="00481254">
            <w:r>
              <w:t xml:space="preserve">Frontend </w:t>
            </w:r>
            <w:r>
              <w:t xml:space="preserve">y </w:t>
            </w:r>
            <w:proofErr w:type="spellStart"/>
            <w:r>
              <w:t>Estilos</w:t>
            </w:r>
            <w:proofErr w:type="spellEnd"/>
          </w:p>
        </w:tc>
        <w:tc>
          <w:tcPr>
            <w:tcW w:w="2880" w:type="dxa"/>
          </w:tcPr>
          <w:p w:rsidR="0015791B" w:rsidRDefault="00481254">
            <w:r>
              <w:t>Tailwind CSS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 xml:space="preserve">Consistencia visual en tablas, formularios y </w:t>
            </w:r>
            <w:r w:rsidRPr="002F3A71">
              <w:rPr>
                <w:lang w:val="es-MX"/>
              </w:rPr>
              <w:lastRenderedPageBreak/>
              <w:t>componentes responsivos, mediante directivas personalizadas (</w:t>
            </w:r>
            <w:proofErr w:type="spellStart"/>
            <w:r w:rsidRPr="002F3A71">
              <w:rPr>
                <w:lang w:val="es-MX"/>
              </w:rPr>
              <w:t>tailwind.config</w:t>
            </w:r>
            <w:proofErr w:type="spellEnd"/>
            <w:r w:rsidRPr="002F3A71">
              <w:rPr>
                <w:lang w:val="es-MX"/>
              </w:rPr>
              <w:t>).</w:t>
            </w:r>
          </w:p>
        </w:tc>
        <w:bookmarkStart w:id="0" w:name="_GoBack"/>
        <w:bookmarkEnd w:id="0"/>
      </w:tr>
      <w:tr w:rsidR="0015791B" w:rsidRPr="002F3A71">
        <w:tc>
          <w:tcPr>
            <w:tcW w:w="2880" w:type="dxa"/>
          </w:tcPr>
          <w:p w:rsidR="0015791B" w:rsidRDefault="00481254">
            <w:r>
              <w:lastRenderedPageBreak/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</w:tcPr>
          <w:p w:rsidR="0015791B" w:rsidRDefault="002F3A71" w:rsidP="002F3A71">
            <w:r>
              <w:t>MySQL 8.0+</w:t>
            </w:r>
          </w:p>
        </w:tc>
        <w:tc>
          <w:tcPr>
            <w:tcW w:w="2880" w:type="dxa"/>
          </w:tcPr>
          <w:p w:rsidR="0015791B" w:rsidRPr="002F3A71" w:rsidRDefault="00481254">
            <w:pPr>
              <w:rPr>
                <w:lang w:val="es-MX"/>
              </w:rPr>
            </w:pPr>
            <w:r w:rsidRPr="002F3A71">
              <w:rPr>
                <w:lang w:val="es-MX"/>
              </w:rPr>
              <w:t>S</w:t>
            </w:r>
            <w:r w:rsidRPr="002F3A71">
              <w:rPr>
                <w:lang w:val="es-MX"/>
              </w:rPr>
              <w:t xml:space="preserve">alvaguarda con integridad la información transaccional, el inventario y </w:t>
            </w:r>
            <w:r w:rsidRPr="002F3A71">
              <w:rPr>
                <w:lang w:val="es-MX"/>
              </w:rPr>
              <w:t>los registros clínicos.</w:t>
            </w:r>
          </w:p>
        </w:tc>
      </w:tr>
    </w:tbl>
    <w:p w:rsidR="00481254" w:rsidRPr="002F3A71" w:rsidRDefault="00481254">
      <w:pPr>
        <w:rPr>
          <w:lang w:val="es-MX"/>
        </w:rPr>
      </w:pPr>
    </w:p>
    <w:sectPr w:rsidR="00481254" w:rsidRPr="002F3A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91B"/>
    <w:rsid w:val="0029639D"/>
    <w:rsid w:val="002F3A71"/>
    <w:rsid w:val="00326F90"/>
    <w:rsid w:val="004812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4DB4F"/>
  <w14:defaultImageDpi w14:val="300"/>
  <w15:docId w15:val="{76D2E558-3062-4A31-92D8-84947E4F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83B96A-1ED2-4AB4-A8FF-7B7DD04F9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2026-08-31T02:00:00Z</dcterms:modified>
  <cp:category/>
</cp:coreProperties>
</file>