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Кейс:</w:t>
      </w:r>
      <w:r w:rsidDel="00000000" w:rsidR="00000000" w:rsidRPr="00000000">
        <w:rPr>
          <w:rtl w:val="0"/>
        </w:rPr>
        <w:t xml:space="preserve"> Анализ транзакций сети розничных магазинов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выявить операционные аномалии, оценить влияние маркетинговой акции на прибыль и средний чек, а также визуализировать ключевые показатели бизнеса.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делал:</w:t>
      </w:r>
    </w:p>
    <w:p w:rsidR="00000000" w:rsidDel="00000000" w:rsidP="00000000" w:rsidRDefault="00000000" w:rsidRPr="00000000" w14:paraId="00000006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— Провёл анализ данных по транзакциям сети розничных магазинов.</w:t>
      </w:r>
    </w:p>
    <w:p w:rsidR="00000000" w:rsidDel="00000000" w:rsidP="00000000" w:rsidRDefault="00000000" w:rsidRPr="00000000" w14:paraId="00000007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— Изучил длительность операций и выявил(а) аномальные значения; интерпретировал(а) их с учётом бизнес-контекста.</w:t>
      </w:r>
    </w:p>
    <w:p w:rsidR="00000000" w:rsidDel="00000000" w:rsidP="00000000" w:rsidRDefault="00000000" w:rsidRPr="00000000" w14:paraId="00000008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— Проанализировал результаты маркетинговой кампании: оценил(а) влияние акции на выручку, прибыль и средний чек.</w:t>
      </w:r>
    </w:p>
    <w:p w:rsidR="00000000" w:rsidDel="00000000" w:rsidP="00000000" w:rsidRDefault="00000000" w:rsidRPr="00000000" w14:paraId="00000009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— Рассчитал коэффициенты прироста и динамику ключевых метрик по периодам.</w:t>
      </w:r>
    </w:p>
    <w:p w:rsidR="00000000" w:rsidDel="00000000" w:rsidP="00000000" w:rsidRDefault="00000000" w:rsidRPr="00000000" w14:paraId="0000000A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— Построил интерактивные дашборды и графики в Google Sheets, визуализирующие результаты анализа.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Используемые инструменты:</w:t>
      </w:r>
      <w:r w:rsidDel="00000000" w:rsidR="00000000" w:rsidRPr="00000000">
        <w:rPr>
          <w:rtl w:val="0"/>
        </w:rPr>
        <w:t xml:space="preserve"> Excel, Google Sheets, функции QUERY, сводные таблицы, визуализации (графики, дашборды).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подготовлен аналитический отчёт и интерактивный дашборд, демонстрирующие влияние маркетинговой активности на финансовые показатели компании.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