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TempleAddress Technical Business Requirements</w:t>
      </w:r>
    </w:p>
    <w:p>
      <w:r>
        <w:t>This BRD is the development agency's technical handoff for a production MVP. The separate user guide explains the business to non-technical readers; the supplied React prototype demonstrates screens and journeys, but uses mock data and does not prove that payments, OTP, bank, messaging or background jobs are connected. The agency should implement the requirements below, document any proposed changes, and agree measurable acceptance criteria with TempleAddress before development starts.</w:t>
      </w:r>
    </w:p>
    <w:p>
      <w:pPr>
        <w:pStyle w:val="Heading1"/>
      </w:pPr>
      <w:r>
        <w:t>MVP scope and delivery boundary</w:t>
      </w:r>
    </w:p>
    <w:p>
      <w:pPr/>
      <w:r>
        <w:t>Deliver a public web experience, role-specific operational dashboards and a versioned REST API. Use the prototype as the interaction reference, not as the security or persistence design. The MVP includes public submissions, signed-in listing creation, staff moderation, bookings, sponsorship checkout, tax invoices, partner attribution, payments, Mini ERP fulfilment and role-specific operations. Commercial sales now use one sponsorship checkout; the partner dashboard no longer has a separate product-sales flow.</w:t>
      </w:r>
    </w:p>
    <w:p>
      <w:pPr>
        <w:pStyle w:val="Heading1"/>
      </w:pPr>
      <w:r>
        <w:t>Functional requirements</w:t>
      </w:r>
    </w:p>
    <w:p>
      <w:pPr>
        <w:pStyle w:val="ListBullet"/>
      </w:pPr>
      <w:r>
        <w:t>Listings and catalogues: issue stable type-based IDs such as T1001, S1001, F1001, E1001 and H1001; return them in directory, detail and dashboard APIs. Support search, filters, pagination, photos/default images, multilingual descriptive fields, timings, contacts, share/QR links and related poojas or services. Preserve approved public content while edits await staff review.</w:t>
      </w:r>
    </w:p>
    <w:p>
      <w:pPr>
        <w:pStyle w:val="ListBullet"/>
      </w:pPr>
      <w:r>
        <w:t>Two approval gates: moderator content review enables the free public information page and verified badge. Separate owner/committee, KYC-document and bank verification enables bookings, donations and payouts. Record reviewer, time, decision, reason and creator feedback. Claims/transfers must compare the original creator and new claimant accounts, mobile/Google identity, authority documents and linked partner profile before ownership changes, and keep an ownership-history log per listing.</w:t>
      </w:r>
    </w:p>
    <w:p>
      <w:pPr>
        <w:pStyle w:val="ListBullet"/>
      </w:pPr>
      <w:r>
        <w:t>Users and roles: permit browsing and eligible guest purchases; support mobile OTP and Google sign-in for accounts. Implement server-enforced permissions for devotee, partner, dealer, temple/festival/service vendor, moderator, accountant and portal administrator. Staff/dealer login needs stronger MFA. Moderator reviews listings, KYC/partner onboarding, special poojas, claims, charts and tickets; accountant manages payout files and received payments; administrator controls configuration and oversight.</w:t>
      </w:r>
    </w:p>
    <w:p>
      <w:pPr>
        <w:pStyle w:val="ListBullet"/>
      </w:pPr>
      <w:r>
        <w:t>Temple and festival offerings: each pooja/offer has a unique code, category, price, online/offline/both mode, booking state, timing, notice rule, purpose and deity where relevant. Festival profiles are enduring descriptions, while events have specific dates/times, day-specific capacity and bookable offers. Vendor settings can pause a listing or normal bookings without erasing existing orders. Live-enabled offerings can be booked after the normal chart or day-sheet cutoff and must enter the next settlement sheet, notifying the vendor by email, SMS and WhatsApp at the moment of booking.</w:t>
      </w:r>
    </w:p>
    <w:p>
      <w:pPr>
        <w:pStyle w:val="ListBullet"/>
      </w:pPr>
      <w:r>
        <w:t>Service professionals: publish profile, categories, about/history/remarks, default photo/gallery, working hours, available slots, service list, enquiry form and reviews. Allow appointments, rescheduling, no-show marking and status updates without platform-collected appointment payments. Profile edits and proposed special offerings require staff approval; optional paid visibility is a separate subscription. A review may only be left against a completed booking, and a provider's cancellation rate and reply time should be tracked as search-ranking and quality signals.</w:t>
      </w:r>
    </w:p>
    <w:p>
      <w:pPr>
        <w:pStyle w:val="ListBullet"/>
      </w:pPr>
      <w:r>
        <w:t>Commercial products: support a free information page, annual temple Basic/Premium plans, sponsor-funded plans for one or more temples, the one-time Mini Billing App and service-professional subscriptions. Festival sponsors may purchase a public package without login; committees may record verified offline sponsorships and must be able to generate a GST invoice on recording one. Store product, payer, beneficiary listing(s), period, invoice, renewal and payment state separately; do not activate a paid plan before payment verification.</w:t>
      </w:r>
    </w:p>
    <w:p>
      <w:pPr>
        <w:pStyle w:val="ListBullet"/>
      </w:pPr>
      <w:r>
        <w:t>Public channels and AI assistant: ship the WhatsApp booking bot, Android/iOS apps (with version and force-update handling, plus install/DAU/crash-rate tracking) and a grounded AI assistant (English and Malayalam) as first-class channels sharing the same booking, receipt and chart records as the website. The assistant must answer only from verified TempleAddress data, never invent prices or timings, and hand off to human WhatsApp support below a confidence threshold or on booking/refund intent; keep the underlying model provider swappable.</w:t>
      </w:r>
    </w:p>
    <w:p>
      <w:pPr>
        <w:pStyle w:val="ListBullet"/>
      </w:pPr>
      <w:r>
        <w:t>Listing operations: support per-listing team members/co-admins with distinct access levels; note that the prototype currently models this differently per vendor type (a temple's flat owner/chart-only/finance-only roles versus a festival committee's convenor/treasurer/programme/view-only roles) and the agency should propose one consistent permission model rather than carry both forward as-is. Also support an OTP-verified ownership-transfer flow between two accounts with an audit trail, a white-label/custom-domain option (subdomain by default, CNAME custom domain and ad/nearby-listing suppression on paid plans), and full data portability — an on-demand or scheduled export (JSON + Excel + PDF) and a staff-verified, listing-scoped restore that never deletes financial records.</w:t>
      </w:r>
    </w:p>
    <w:p>
      <w:pPr>
        <w:pStyle w:val="ListBullet"/>
      </w:pPr>
      <w:r>
        <w:t>Platform administration: reference/master data (deities, offering categories, districts, service types, listing-ID prefixes) must be staff-editable without a deploy. Branding and legal content (site identity, privacy policy, terms, cancellation/refund policy, cookie policy) must be editable and versioned. Maintain two separate, exportable, immutable audit trails — general user activity and privileged administrator actions — and require step-up confirmation (an admin PIN or equivalent second factor) before gateway-key, commission/fee-rate or plan-pricing changes take effect.</w:t>
      </w:r>
    </w:p>
    <w:p>
      <w:pPr>
        <w:pStyle w:val="ListBullet"/>
      </w:pPr>
      <w:r>
        <w:t>Festival compliance: support per-festival local permits — panchayat/municipality permission, police clearance, fire and safety clearance, a fireworks licence, an elephant-parade permit and a loudspeaker permission — each with its own document upload and status, and each triggered as required or optional based on the committee's declared expected footfall and planned activities.</w:t>
      </w:r>
    </w:p>
    <w:p>
      <w:pPr>
        <w:pStyle w:val="ListBullet"/>
      </w:pPr>
      <w:r>
        <w:t>Consolidated support and continuity: one ticket queue across website, app, contact form and WhatsApp; scheduled off-site backups with a retention policy, periodic restore drills, a maintenance-mode switch, and identity-verified point-in-time restore per listing.</w:t>
      </w:r>
    </w:p>
    <w:p>
      <w:pPr>
        <w:pStyle w:val="ListBullet"/>
      </w:pPr>
      <w:r>
        <w:t>Analytics: aggregate internal booking/revenue data with Google Analytics 4, app-store metrics and WhatsApp/AI-assistant conversation metrics into one admin-facing view; do not require staff to check multiple external dashboards separately.</w:t>
      </w:r>
    </w:p>
    <w:p>
      <w:pPr>
        <w:pStyle w:val="Heading1"/>
      </w:pPr>
      <w:r>
        <w:t>Booking payments and settlement</w:t>
      </w:r>
    </w:p>
    <w:p>
      <w:r>
        <w:t>The required trace is listing and pooja or donation → order/booking ID → payment attempt and gateway/bank ID → verified paid, failed or pending outcome → receipt and notification → fulfilment or cancellation/refund → chart/day sheet → payout or direct-settlement record. Every record must retain the listing ID, user or guest contact, amount, gateway, transaction ID, timestamps and remarks. Online callbacks need signature verification and idempotency; uploaded screenshots are evidence for review, not automatic proof of payment. Refunds must follow the published cancellation policy and retain the original and refund references. Issue 80G receipts only when an eligible temple trust and donor details (including a captured PAN) meet the approved rules. Note that booking/donation status, daily-chart status, listing/KYC moderation status, support-ticket status and the subscription/sponsorship payment-verification status introduced by the newer checkout are five separate state machines in the current prototype, not one shared status enum — design and document each explicitly rather than merging them.</w:t>
      </w:r>
    </w:p>
    <w:p>
      <w:pPr>
        <w:pStyle w:val="ListBullet"/>
      </w:pPr>
      <w:r>
        <w:t>TempleAddress-collected gateway: Omniware, Razorpay, PayU or Stripe as a platform merchant gateway collects customer money on TempleAddress's behalf, with zero platform fee added on top of the gateway's own charge for ordinary bookings and donations. The booking/chart shows gross amount, gateway charges, any approved fee, payable balance and bank-settlement state. Accountants export approved NEFT batches and import bank responses before marking payables paid.</w:t>
      </w:r>
    </w:p>
    <w:p>
      <w:pPr>
        <w:pStyle w:val="ListBullet"/>
      </w:pPr>
      <w:r>
        <w:t>Listing-owned gateway: a temple may connect its own Razorpay/PayU merchant account. Money settles directly to that temple; TempleAddress still stores order, payment and webhook references and includes the booking in charts, but must not create a duplicate platform payout. Note that the prototype uses "Omniware" inconsistently — sometimes as a platform-collected gateway offered through TempleAddress, and elsewhere as the definitional example of a temple's own merchant account — resolve this naming before building gateway routing logic.</w:t>
      </w:r>
    </w:p>
    <w:p>
      <w:pPr>
        <w:pStyle w:val="ListBullet"/>
      </w:pPr>
      <w:r>
        <w:t>Bank-only and manual route: where no listing gateway is connected, use verified recipient bank details and accountant-reviewed collection/NEFT workflow. Payout and partner/dealer withdrawal files require approvals, Excel export, bank-portal submission and a validated result import with payment date/time, transaction ID and bank UTR/journal number, with TDS deducted where applicable. Reject duplicates, mismatched amounts and unknown references for manual review.</w:t>
      </w:r>
    </w:p>
    <w:p>
      <w:r>
        <w:t>A scheduled background job should close, lock and deliver each daily temple chart at the listing-configured or server cutoff without a staff/vendor confirmation button. Charts include all eligible booking and donation lines, total, listing, date and paid/pending payout information; older charts stay searchable. Live poojas notify the vendor immediately and enter the next chart without reopening a locked chart. Festival day sheets similarly organise bookings and names by event day, with sponsor-funded items grouped first for the officiating priest to announce. Reconciliation must show which chart or withdrawal each bank row settled.</w:t>
      </w:r>
    </w:p>
    <w:p>
      <w:pPr>
        <w:pStyle w:val="Heading1"/>
      </w:pPr>
      <w:r>
        <w:t>Partner wallets and financial controls</w:t>
      </w:r>
    </w:p>
    <w:p>
      <w:r>
        <w:t>Partner and dealer wallets need immutable credit/debit entries, unique wallet transaction IDs, campaign/reward references, timestamps, source listing or order, balance effects, filter/sort/pagination and exportable statements. A linked dealer credit must be generated according to the final approved commission rule; reversals should correct both linked entries.</w:t>
      </w:r>
    </w:p>
    <w:p>
      <w:pPr>
        <w:pStyle w:val="Heading2"/>
      </w:pPr>
      <w:r>
        <w:t>Three unresolved conflicts the agency must not silently pick a side on</w:t>
      </w:r>
    </w:p>
    <w:p>
      <w:pPr>
        <w:pStyle w:val="ListBullet"/>
      </w:pPr>
      <w:r>
        <w:t>Plan pricing: the prototype still contains older plan-price examples alongside the sponsorship-checkout packages. One price book covering Supporter, Patron, Benefactor and Temple Billing mini ERP must be approved before production implementation.</w:t>
      </w:r>
    </w:p>
    <w:p>
      <w:pPr>
        <w:pStyle w:val="ListBullet"/>
      </w:pPr>
      <w:r>
        <w:t>Commission model: the sponsorship checkout previews a flat 10% partner and 5% dealer commission, while older wallet panels show different rules. Only one commission formula should be built.</w:t>
      </w:r>
    </w:p>
    <w:p>
      <w:pPr>
        <w:pStyle w:val="ListBullet"/>
      </w:pPr>
      <w:r>
        <w:t>Points versus rupees, and the affiliate tier: the simplified model's own design note states the explicit intent to remove coins, points and referral rewards in favour of plain rupee wallets — yet the prototype still includes a fully working staff tool for granting manual "special reward points" (1 point = ₹1, with an automatic 10% dealer share), and a separate legacy "affiliate" bonus scheme for referrers outside the partner/dealer hierarchy (a flat amount per referred listing, a percentage of a referred sponsorship, and a smaller percentage on its renewal). TempleAddress must decide, in writing, whether either mechanism is kept, and in what form, before the agency builds any wallet ledger — this is not something the agency should infer from partial prototype screens.</w:t>
      </w:r>
    </w:p>
    <w:p>
      <w:pPr>
        <w:pStyle w:val="Heading1"/>
      </w:pPr>
      <w:r>
        <w:t>Proposed technical architecture</w:t>
      </w:r>
    </w:p>
    <w:p>
      <w:pPr>
        <w:pStyle w:val="ListBullet"/>
      </w:pPr>
      <w:r>
        <w:t>Application and data: Python Django with Django REST Framework for APIs; PostgreSQL on Amazon RDS or a suitable managed equivalent; React for operations and Next.js for public/landing pages. Keep business rules in one API, not duplicated across front ends. Lower-cost AWS-compatible alternatives need a maintenance and migration rationale.</w:t>
      </w:r>
    </w:p>
    <w:p>
      <w:pPr>
        <w:pStyle w:val="ListBullet"/>
      </w:pPr>
      <w:r>
        <w:t>Infrastructure and jobs: S3 for public photos and private KYC/receipts/exports with signed access; Cloudflare or Route 53 for DNS/CDN; Nginx or a managed AWS ingress; Redis and Celery or equivalent for cutoff jobs, notifications, import/export generation, retries and dead-letter handling. Separate development, staging and production, with automated deployment, backups and rollback.</w:t>
      </w:r>
    </w:p>
    <w:p>
      <w:pPr>
        <w:pStyle w:val="ListBullet"/>
      </w:pPr>
      <w:r>
        <w:t>Tenant rendering: support a white-label mode per listing — its own subdomain by default, an optional custom domain via CNAME, and suppression of TempleAddress ads and nearby-listing cross-promotion on paid plans — without forking the codebase per tenant.</w:t>
      </w:r>
    </w:p>
    <w:p>
      <w:pPr>
        <w:pStyle w:val="ListBullet"/>
      </w:pPr>
      <w:r>
        <w:t>Provider adapters: integrate replaceable SMS/email/WhatsApp OTP and messaging, Google OAuth, merchant gateways/webhooks, bank NEFT file workflows, an AI-assistant model provider, and GA4 analytics. Record provider IDs and delivery status; never expose gateway keys or KYC files in browser code.</w:t>
      </w:r>
    </w:p>
    <w:p>
      <w:pPr>
        <w:pStyle w:val="Heading1"/>
      </w:pPr>
      <w:r>
        <w:t>API contract and future channels</w:t>
      </w:r>
    </w:p>
    <w:p>
      <w:r>
        <w:t>Provide a human-written API handbook beyond OpenAPI/Swagger: domain glossary, endpoint purpose, roles/auth, examples, validation/errors, state transitions, filters/sort/pagination, idempotency, files, webhook security/retries and versioning. Cover listings/KYC/ownership, catalogues/availability/enquiries, bookings/donations, payments/refunds, charts/day sheets, NEFT, commercial plans, wallets, support and audit. Include complete sample flows for independent React Native and WhatsApp chatbot/AI teams. All channels use the same API rules and IDs.</w:t>
      </w:r>
    </w:p>
    <w:p>
      <w:pPr>
        <w:pStyle w:val="Heading1"/>
      </w:pPr>
      <w:r>
        <w:t>Security, operations and acceptance</w:t>
      </w:r>
    </w:p>
    <w:p>
      <w:pPr>
        <w:pStyle w:val="ListBullet"/>
      </w:pPr>
      <w:r>
        <w:t>Security and audit: enforce permissions in Django rather than client route parameters. Use TLS, secret management, masked PII, restricted KYC previews, signed S3 URLs, retention rules and append-only audit events for approvals, payment changes and critical settings. Require a step-up PIN or equivalent second factor, distinct from normal session auth, before sensitive configuration (gateway keys, settlement accounts, fees, commissions, plan pricing) is saved, recorded in the admin audit trail; an admin cannot delete or disable another admin. Confirm manual triggers before execution.</w:t>
      </w:r>
    </w:p>
    <w:p>
      <w:pPr>
        <w:pStyle w:val="ListBullet"/>
      </w:pPr>
      <w:r>
        <w:t>Quality and operations: deliver responsive, accessible and multilingual-ready UI; monitoring for failed OTP, webhooks, jobs and bank imports; reconciliation reports; a recovery drill; deploy/rollback/runbook; and an AWS cost estimate. Agree performance, availability, backup and recovery targets before launch rather than assuming them from the prototype.</w:t>
      </w:r>
    </w:p>
    <w:p>
      <w:pPr>
        <w:pStyle w:val="ListBullet"/>
      </w:pPr>
      <w:r>
        <w:t>Acceptance and handover: test listing review versus KYC gate, guest/account purchase, payment outcomes/refund, own-gateway payout exclusion, automatic charts, Live next-chart placement, NEFT duplicate rejection, role isolation, admin PIN, linked wallets, one-time campaigns, festival permit gating and ticket audit. Hand over tests, the API handbook, a configuration inventory, demo data, source, deployment instructions and an operations manual.</w:t>
      </w:r>
    </w:p>
    <w:p>
      <w:pPr>
        <w:pStyle w:val="Heading1"/>
      </w:pPr>
      <w:r>
        <w:t>Decisions to approve before implementation</w:t>
      </w:r>
    </w:p>
    <w:p>
      <w:r>
        <w:t>Before building checkout or ledgers, TempleAddress must approve: one price book and commission/dealer formula (resolving the plan-pricing and commission-rate conflicts described above); whether the legacy points-based reward tool and the affiliate referral tier are kept, changed or dropped; fee and tax rules; 80G eligibility; cancellation windows; festival settlement and permit policy; renewal terms; the WhatsApp business messaging provider and AI-assistant model provider; the scope and pricing of the white-label/custom-domain feature; one consistent team/permission model across vendor types; React versus Next.js page ownership; and measurable service targets. Record each decision and any deviation from prototype behaviour.</w:t>
      </w:r>
    </w:p>
    <w:p>
      <w:pPr>
        <w:pStyle w:val="Heading1"/>
      </w:pPr>
      <w:r>
        <w:t>Current listing and sponsorship decisions</w:t>
      </w:r>
    </w:p>
    <w:p>
      <w:r>
        <w:t>The following decisions reflect the current prototype and should guide API and UI implementation. They do not require a database-model change in this prototype repository.</w:t>
      </w:r>
    </w:p>
    <w:p>
      <w:pPr>
        <w:pStyle w:val="ListBullet"/>
      </w:pPr>
      <w:r>
        <w:t>Landing entry: Submit a temple opens a public no-login contact form. Create a profile requires OTP or Google login and then opens the full listing editor. Claim actions belong only on a specific listing detail page.</w:t>
      </w:r>
    </w:p>
    <w:p>
      <w:pPr>
        <w:pStyle w:val="ListBullet"/>
      </w:pPr>
      <w:r>
        <w:t>Listing workflow: devotees and partners may create, view and edit listings. Save every section as a draft and expose drafts to authorised staff. Photos and KYC documents remain optional.</w:t>
      </w:r>
    </w:p>
    <w:p>
      <w:pPr>
        <w:pStyle w:val="ListBullet"/>
      </w:pPr>
      <w:r>
        <w:t>Listing fields: use the generic Name of listing label. Supported choices include temple, kavu, holy place, Jain temple, Buddhist pagoda, festival and service; exclude church and mosque.</w:t>
      </w:r>
    </w:p>
    <w:p>
      <w:pPr>
        <w:pStyle w:val="ListBullet"/>
      </w:pPr>
      <w:r>
        <w:t>Temple master data: Main deity 1, optional Main deity 2 and other deity selections come from staff-managed deity master data.</w:t>
      </w:r>
    </w:p>
    <w:p>
      <w:pPr>
        <w:pStyle w:val="ListBullet"/>
      </w:pPr>
      <w:r>
        <w:t>Contacts: keep official public phone/email separately from private committee-member phone/email. Public contacts receive booking WhatsApp/email notifications; private contacts are for verification and support.</w:t>
      </w:r>
    </w:p>
    <w:p>
      <w:pPr>
        <w:pStyle w:val="ListBullet"/>
      </w:pPr>
      <w:r>
        <w:t>Sponsorship: offer self sponsorship without branding and third-party sponsorship with optional sponsor name, GSTIN, logo, banner and ad text. Packages are Supporter, Patron, Benefactor and the one-time Temple Billing mini ERP.</w:t>
      </w:r>
    </w:p>
    <w:p>
      <w:pPr>
        <w:pStyle w:val="ListBullet"/>
      </w:pPr>
      <w:r>
        <w:t>Partner attribution: validate a partner code before checkout and show the matched partner name or an invalid-code message. Remove the separate Sell a product action from the partner dashboard.</w:t>
      </w:r>
    </w:p>
    <w:p>
      <w:pPr>
        <w:pStyle w:val="ListBullet"/>
      </w:pPr>
      <w:r>
        <w:t>Payments: gateways such as Omniware, Federal Bank and Stripe can confirm automatically. UPI, bank transfer and cheque require payment details and staff verification; issue only a provisional receipt until verification. Show a default UPI QR and do not request branch details.</w:t>
      </w:r>
    </w:p>
    <w:p>
      <w:pPr>
        <w:pStyle w:val="ListBullet"/>
      </w:pPr>
      <w:r>
        <w:t>Tax and activation: sponsorship checkout issues a tax invoice with seller tax details and correct line items, never an 80G receipt. Activate plans after confirmed payment. Mini ERP buyers receive the temple code, activation UUID, download link and activation steps in their user or partner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