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Conception et réalisation en chaudronnerie industrielle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Organisation et suivi de la réalisation, prefabrication, installation et de la maintenance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Conception et réalisation en chaudronnerie industrielle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Organisation et suivi de la réalisation, prefabrication, installation et de la maintenance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Organisation et suivi de la réalisation, prefabrication, installation et de la maintenance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https://sti.eduscol.education.fr/sites/eduscol.education.fr.sti/files/textes/bts/bts-conception-et-realisation-en-chaudronnerie-industrielle-crci-partir-de-2018/9967-bts-crci-referentiel.pdf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