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Métiers du geomêtre-topographe et de la modelisation numérique</w:t>
      </w:r>
    </w:p>
    <w:p>
      <w:pPr>
        <w:jc w:val="center"/>
      </w:pPr>
      <w:r>
        <w:rPr>
          <w:i/>
          <w:sz w:val="21"/>
          <w:lang w:val="fr-FR" w:eastAsia="fr-FR" w:bidi="fr-FR"/>
        </w:rPr>
        <w:t>Support évalué : Compte rendu / presentation d'activités professionnelles | Modalité : Mixte selon voie</w:t>
      </w:r>
    </w:p>
    <w:p>
      <w:pPr>
        <w:jc w:val="center"/>
      </w:pPr>
      <w:r>
        <w:rPr>
          <w:b/>
          <w:color w:val="C0504D"/>
          <w:lang w:val="fr-FR" w:eastAsia="fr-FR" w:bidi="fr-FR"/>
        </w:rPr>
        <w:t>Trame minimale à compléter</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Métiers du geomêtre-topographe et de la modelisation numérique</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Mixte selon voie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Sans option spécifiée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CCF ou ponctuelle selon voie ; dossier support confirmé</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Compte rendu / presentation d'activités professionnelles</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E62 Compte rendu d'activités en milieu professionnel</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CCF ou ponctuelle selon voie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Trame minimale à compléter</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référentiel du BTS Métiers du géomètre-topographe et de la modélisation numérique mentionne l'existence d'une grille d'évaluation unique pour l'épreuve U61 (qui correspond au compte rendu d'activités en milieu professionnel), mais l'URL directe de cette grille n'est pas fournie. L'arrêté de définition du diplôme renvoie aux annexes pour les définitions des épreuves et les situations d'évaluation en cours de formation.</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Non retrouvé</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Qualité, structuration et exploitabilité du support remis au jury</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Contextualisation de l'entreprise, du service, du chantier ou de l'environnement professionnel</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Description claire des activités, missions ou productions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et professionnelle des activités présentées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Analyse des choix, contraintes,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Respect des règles de qualité, de sécurité, de méthode et de traçabilité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présentation orale et capacité d'argumentation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Aucune grille intégrale publique n'a été isolée ; la fiche repose sur les indices documentaires disponibles pour ce BTS.</w:t>
      </w:r>
    </w:p>
    <w:p>
      <w:r>
        <w:rPr>
          <w:sz w:val="17"/>
          <w:lang w:val="fr-FR" w:eastAsia="fr-FR" w:bidi="fr-FR"/>
        </w:rPr>
        <w:t>Référentiel : https://www.education.gouv.fr/bo/16/Hebdo13/MENS1604338A.htm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