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Traitements des materiaux</w:t>
      </w:r>
    </w:p>
    <w:p>
      <w:pPr>
        <w:jc w:val="center"/>
      </w:pPr>
      <w:r>
        <w:rPr>
          <w:i/>
          <w:sz w:val="21"/>
          <w:lang w:val="fr-FR" w:eastAsia="fr-FR" w:bidi="fr-FR"/>
        </w:rPr>
        <w:t>Support évalué : Rapport de stage / rapport d'activités | Modalité : À confirmer | Option : Options À et B</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 La modalité exacte (CCF ou ponctuelle) reste à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Traitements des materiaux</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À confirmer</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À et B</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U61|U62 | U6.2 / E62 Rapport de stage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confirmé</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rapport de stage en milieu professionnel est explicite, mais la grille detaillee n'à pas ete retrouvée publiquement.</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traitements des materiaux</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maîtrise des procédés, l'analysé des paramêtres, la qualité obtenue, la sécurité et l'interpretation des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Capacité à répondre avec argumentation aux questions professionnelles (stage, économie, gestion)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rigueur de la démarche</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valeur technique des solutions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rigueur et qualité des travaux présentés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l'exposé oral et des réponses. Le rapport de stage est évalué lors d'une situation d'évaluation en CCF</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de stage en milieu professionnel, le reglement d'examen et les competences de procede.</w:t>
      </w:r>
    </w:p>
    <w:p>
      <w:r>
        <w:rPr>
          <w:lang w:val="fr-FR" w:eastAsia="fr-FR" w:bidi="fr-FR"/>
        </w:rPr>
        <w:t>Le Bulletin Officiel de l'Éducation Nationale pour le BTS Traitements des Matériaux (Arrêté du 5 août 2001 modifié) détaille explicitement les critères d'évaluation pour l'épreuve U6.2 / E62 Rapport de stage en milieu professionnel. Ces critères incluent la capacité à argumenter, la rigueur de la démarche, la valeur technique, la qualité des travaux et de la communication orale. L'évaluation se fait en CCF sur la base d'une situation d'évaluation et du rapport de stage.</w:t>
      </w:r>
    </w:p>
    <w:p>
      <w:r>
        <w:rPr>
          <w:sz w:val="17"/>
          <w:lang w:val="fr-FR" w:eastAsia="fr-FR" w:bidi="fr-FR"/>
        </w:rPr>
        <w:t>Référentiel : https://www.education.gouv.fr/bo/2001/hs6/hs6.htm</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