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lang w:val="fr-FR" w:eastAsia="fr-FR" w:bidi="fr-FR"/>
        </w:rPr>
        <w:t>Fiche d'évaluation reconstituée - BTS Concepteur en art et industrie ceramique</w:t>
      </w:r>
    </w:p>
    <w:p>
      <w:pPr>
        <w:jc w:val="center"/>
      </w:pPr>
      <w:r>
        <w:rPr>
          <w:i/>
          <w:sz w:val="21"/>
          <w:lang w:val="fr-FR" w:eastAsia="fr-FR" w:bidi="fr-FR"/>
        </w:rPr>
        <w:t>Support évalué : Rapport de stage ou d'activités professionnelles | Modalité : Ponctuelle</w:t>
      </w:r>
    </w:p>
    <w:p>
      <w:pPr>
        <w:jc w:val="center"/>
      </w:pPr>
      <w:r>
        <w:rPr>
          <w:b/>
          <w:color w:val="4F81BD"/>
          <w:lang w:val="fr-FR" w:eastAsia="fr-FR" w:bidi="fr-FR"/>
        </w:rPr>
        <w:t>Fiche reconstituée à partir de critères officiels</w:t>
      </w:r>
    </w:p>
    <w:p>
      <w:pPr>
        <w:spacing w:after="120"/>
      </w:pPr>
      <w:r>
        <w:rPr>
          <w:i/>
          <w:lang w:val="fr-FR" w:eastAsia="fr-FR" w:bidi="fr-FR"/>
        </w:rPr>
        <w:t>Cette fiche est une reconstitution de travail à partir des sources publiques repérées au 2026-05-06. Elle ne remplace pas un formulaire national opposable lorsqu'une grille officielle complète existe par ailleurs.</w:t>
      </w:r>
    </w:p>
    <w:tbl>
      <w:tblPr>
        <w:tblStyle w:val="TableGrid"/>
        <w:tblW w:type="auto" w:w="0"/>
        <w:jc w:val="center"/>
        <w:tblLook w:firstColumn="1" w:firstRow="1" w:lastColumn="0" w:lastRow="0" w:noHBand="0" w:noVBand="1" w:val="04A0"/>
      </w:tblPr>
      <w:tblGrid>
        <w:gridCol w:w="3563"/>
        <w:gridCol w:w="3563"/>
        <w:gridCol w:w="3563"/>
        <w:gridCol w:w="3563"/>
      </w:tblGrid>
      <w:tr>
        <w:tc>
          <w:tcPr>
            <w:tcW w:type="dxa" w:w="1814"/>
            <w:vAlign w:val="center"/>
            <w:shd w:fill="D9EAF7"/>
          </w:tcPr>
          <w:p>
            <w:r>
              <w:rPr>
                <w:b/>
                <w:lang w:val="fr-FR" w:eastAsia="fr-FR" w:bidi="fr-FR"/>
              </w:rPr>
              <w:t>BTS</w:t>
            </w:r>
          </w:p>
        </w:tc>
        <w:tc>
          <w:tcPr>
            <w:tcW w:type="dxa" w:w="4535"/>
            <w:vAlign w:val="center"/>
          </w:tcPr>
          <w:p>
            <w:r>
              <w:rPr>
                <w:lang w:val="fr-FR" w:eastAsia="fr-FR" w:bidi="fr-FR"/>
              </w:rPr>
              <w:t>BTS Concepteur en art et industrie ceramique</w:t>
            </w:r>
          </w:p>
        </w:tc>
        <w:tc>
          <w:tcPr>
            <w:tcW w:type="dxa" w:w="1814"/>
            <w:vAlign w:val="center"/>
            <w:shd w:fill="D9EAF7"/>
          </w:tcPr>
          <w:p>
            <w:r>
              <w:rPr>
                <w:b/>
                <w:lang w:val="fr-FR" w:eastAsia="fr-FR" w:bidi="fr-FR"/>
              </w:rPr>
              <w:t>Modalité</w:t>
            </w:r>
          </w:p>
        </w:tc>
        <w:tc>
          <w:tcPr>
            <w:tcW w:type="dxa" w:w="6009"/>
            <w:vAlign w:val="center"/>
          </w:tcPr>
          <w:p>
            <w:r>
              <w:rPr>
                <w:lang w:val="fr-FR" w:eastAsia="fr-FR" w:bidi="fr-FR"/>
              </w:rPr>
              <w:t>Ponctuelle</w:t>
            </w:r>
          </w:p>
        </w:tc>
      </w:tr>
      <w:tr>
        <w:tc>
          <w:tcPr>
            <w:tcW w:type="dxa" w:w="1814"/>
            <w:vAlign w:val="center"/>
            <w:shd w:fill="D9EAF7"/>
          </w:tcPr>
          <w:p>
            <w:r>
              <w:rPr>
                <w:b/>
                <w:lang w:val="fr-FR" w:eastAsia="fr-FR" w:bidi="fr-FR"/>
              </w:rPr>
              <w:t>Option</w:t>
            </w:r>
          </w:p>
        </w:tc>
        <w:tc>
          <w:tcPr>
            <w:tcW w:type="dxa" w:w="4535"/>
            <w:vAlign w:val="center"/>
          </w:tcPr>
          <w:p>
            <w:r>
              <w:rPr>
                <w:lang w:val="fr-FR" w:eastAsia="fr-FR" w:bidi="fr-FR"/>
              </w:rPr>
              <w:t>Sans option spécifiée</w:t>
            </w:r>
          </w:p>
        </w:tc>
        <w:tc>
          <w:tcPr>
            <w:tcW w:type="dxa" w:w="1814"/>
            <w:vAlign w:val="center"/>
            <w:shd w:fill="D9EAF7"/>
          </w:tcPr>
          <w:p>
            <w:r>
              <w:rPr>
                <w:b/>
                <w:lang w:val="fr-FR" w:eastAsia="fr-FR" w:bidi="fr-FR"/>
              </w:rPr>
              <w:t>Statut documentaire</w:t>
            </w:r>
          </w:p>
        </w:tc>
        <w:tc>
          <w:tcPr>
            <w:tcW w:type="dxa" w:w="6009"/>
            <w:vAlign w:val="center"/>
          </w:tcPr>
          <w:p>
            <w:r>
              <w:rPr>
                <w:lang w:val="fr-FR" w:eastAsia="fr-FR" w:bidi="fr-FR"/>
              </w:rPr>
              <w:t>Support present mais pas CCF sur cette sous-epreuve</w:t>
            </w:r>
          </w:p>
        </w:tc>
      </w:tr>
      <w:tr>
        <w:tc>
          <w:tcPr>
            <w:tcW w:type="dxa" w:w="1814"/>
            <w:vAlign w:val="center"/>
            <w:shd w:fill="D9EAF7"/>
          </w:tcPr>
          <w:p>
            <w:r>
              <w:rPr>
                <w:b/>
                <w:lang w:val="fr-FR" w:eastAsia="fr-FR" w:bidi="fr-FR"/>
              </w:rPr>
              <w:t>Support</w:t>
            </w:r>
          </w:p>
        </w:tc>
        <w:tc>
          <w:tcPr>
            <w:tcW w:type="dxa" w:w="4535"/>
            <w:vAlign w:val="center"/>
          </w:tcPr>
          <w:p>
            <w:r>
              <w:rPr>
                <w:lang w:val="fr-FR" w:eastAsia="fr-FR" w:bidi="fr-FR"/>
              </w:rPr>
              <w:t>Rapport de stage ou d'activités professionnelles</w:t>
            </w:r>
          </w:p>
        </w:tc>
        <w:tc>
          <w:tcPr>
            <w:tcW w:type="dxa" w:w="1814"/>
            <w:vAlign w:val="center"/>
            <w:shd w:fill="D9EAF7"/>
          </w:tcPr>
          <w:p>
            <w:r>
              <w:rPr>
                <w:b/>
                <w:lang w:val="fr-FR" w:eastAsia="fr-FR" w:bidi="fr-FR"/>
              </w:rPr>
              <w:t>Épreuve</w:t>
            </w:r>
          </w:p>
        </w:tc>
        <w:tc>
          <w:tcPr>
            <w:tcW w:type="dxa" w:w="6009"/>
            <w:vAlign w:val="center"/>
          </w:tcPr>
          <w:p>
            <w:r>
              <w:rPr>
                <w:lang w:val="fr-FR" w:eastAsia="fr-FR" w:bidi="fr-FR"/>
              </w:rPr>
              <w:t>U51 | U5.2 / E52 Rapport de stage ou d'activités professionnelles | E61 Presentation du rapport de stage industriel</w:t>
            </w:r>
          </w:p>
        </w:tc>
      </w:tr>
      <w:tr>
        <w:tc>
          <w:tcPr>
            <w:tcW w:type="dxa" w:w="1814"/>
            <w:vAlign w:val="center"/>
            <w:shd w:fill="D9EAF7"/>
          </w:tcPr>
          <w:p>
            <w:r>
              <w:rPr>
                <w:b/>
                <w:lang w:val="fr-FR" w:eastAsia="fr-FR" w:bidi="fr-FR"/>
              </w:rPr>
              <w:t>Voies / modalités</w:t>
            </w:r>
          </w:p>
        </w:tc>
        <w:tc>
          <w:tcPr>
            <w:tcW w:type="dxa" w:w="4535"/>
            <w:vAlign w:val="center"/>
          </w:tcPr>
          <w:p>
            <w:r>
              <w:rPr>
                <w:lang w:val="fr-FR" w:eastAsia="fr-FR" w:bidi="fr-FR"/>
              </w:rPr>
              <w:t>Ponctuelle documentee</w:t>
            </w:r>
          </w:p>
        </w:tc>
        <w:tc>
          <w:tcPr>
            <w:tcW w:type="dxa" w:w="1814"/>
            <w:vAlign w:val="center"/>
            <w:shd w:fill="D9EAF7"/>
          </w:tcPr>
          <w:p>
            <w:r>
              <w:rPr>
                <w:b/>
                <w:lang w:val="fr-FR" w:eastAsia="fr-FR" w:bidi="fr-FR"/>
              </w:rPr>
              <w:t>Niveau de reconstitution</w:t>
            </w:r>
          </w:p>
        </w:tc>
        <w:tc>
          <w:tcPr>
            <w:tcW w:type="dxa" w:w="6009"/>
            <w:vAlign w:val="center"/>
          </w:tcPr>
          <w:p>
            <w:r>
              <w:rPr>
                <w:lang w:val="fr-FR" w:eastAsia="fr-FR" w:bidi="fr-FR"/>
              </w:rPr>
              <w:t>Fiche reconstituée à partir de critères officiels</w:t>
            </w:r>
          </w:p>
        </w:tc>
      </w:tr>
      <w:tr>
        <w:tc>
          <w:tcPr>
            <w:tcW w:type="dxa" w:w="1814"/>
            <w:vAlign w:val="center"/>
            <w:shd w:fill="D9EAF7"/>
          </w:tcPr>
          <w:p>
            <w:r>
              <w:rPr>
                <w:b/>
                <w:lang w:val="fr-FR" w:eastAsia="fr-FR" w:bidi="fr-FR"/>
              </w:rPr>
              <w:t>Sources modèle</w:t>
            </w:r>
          </w:p>
        </w:tc>
        <w:tc>
          <w:tcPr>
            <w:tcW w:type="dxa" w:w="4535"/>
            <w:vAlign w:val="center"/>
          </w:tcPr>
          <w:p>
            <w:r>
              <w:rPr>
                <w:lang w:val="fr-FR" w:eastAsia="fr-FR" w:bidi="fr-FR"/>
              </w:rPr>
              <w:t>Le texte officiel ancien reste la source publique la plus directe pour les critères de l'épreuve.</w:t>
            </w:r>
          </w:p>
        </w:tc>
        <w:tc>
          <w:tcPr>
            <w:tcW w:type="dxa" w:w="1814"/>
            <w:vAlign w:val="center"/>
            <w:shd w:fill="D9EAF7"/>
          </w:tcPr>
          <w:p>
            <w:r>
              <w:rPr>
                <w:b/>
                <w:lang w:val="fr-FR" w:eastAsia="fr-FR" w:bidi="fr-FR"/>
              </w:rPr>
              <w:t>Document jury</w:t>
            </w:r>
          </w:p>
        </w:tc>
        <w:tc>
          <w:tcPr>
            <w:tcW w:type="dxa" w:w="6009"/>
            <w:vAlign w:val="center"/>
          </w:tcPr>
          <w:p>
            <w:r>
              <w:rPr>
                <w:lang w:val="fr-FR" w:eastAsia="fr-FR" w:bidi="fr-FR"/>
              </w:rPr>
              <w:t>https://www.education.gouv.fr/bo/2009/20/esrs0906079a.html</w:t>
            </w:r>
          </w:p>
        </w:tc>
      </w:tr>
    </w:tbl>
    <w:p/>
    <w:p>
      <w:r>
        <w:rPr>
          <w:b/>
          <w:lang w:val="fr-FR" w:eastAsia="fr-FR" w:bidi="fr-FR"/>
        </w:rPr>
        <w:t>Échelle de positionnement conseillée</w:t>
      </w:r>
    </w:p>
    <w:tbl>
      <w:tblPr>
        <w:tblStyle w:val="TableGrid"/>
        <w:tblW w:type="auto" w:w="0"/>
        <w:jc w:val="left"/>
        <w:tblLook w:firstColumn="1" w:firstRow="1" w:lastColumn="0" w:lastRow="0" w:noHBand="0" w:noVBand="1" w:val="04A0"/>
      </w:tblPr>
      <w:tblGrid>
        <w:gridCol w:w="3563"/>
        <w:gridCol w:w="3563"/>
        <w:gridCol w:w="3563"/>
        <w:gridCol w:w="3563"/>
      </w:tblGrid>
      <w:tr>
        <w:tc>
          <w:tcPr>
            <w:tcW w:type="dxa" w:w="3563"/>
            <w:shd w:fill="D9EAF7"/>
          </w:tcPr>
          <w:p>
            <w:r>
              <w:rPr>
                <w:b/>
                <w:lang w:val="fr-FR" w:eastAsia="fr-FR" w:bidi="fr-FR"/>
              </w:rPr>
              <w:t>NA</w:t>
            </w:r>
          </w:p>
        </w:tc>
        <w:tc>
          <w:tcPr>
            <w:tcW w:type="dxa" w:w="3563"/>
            <w:shd w:fill="D9EAF7"/>
          </w:tcPr>
          <w:p>
            <w:r>
              <w:rPr>
                <w:b/>
                <w:lang w:val="fr-FR" w:eastAsia="fr-FR" w:bidi="fr-FR"/>
              </w:rPr>
              <w:t>PA</w:t>
            </w:r>
          </w:p>
        </w:tc>
        <w:tc>
          <w:tcPr>
            <w:tcW w:type="dxa" w:w="3563"/>
            <w:shd w:fill="D9EAF7"/>
          </w:tcPr>
          <w:p>
            <w:r>
              <w:rPr>
                <w:b/>
                <w:lang w:val="fr-FR" w:eastAsia="fr-FR" w:bidi="fr-FR"/>
              </w:rPr>
              <w:t>A</w:t>
            </w:r>
          </w:p>
        </w:tc>
        <w:tc>
          <w:tcPr>
            <w:tcW w:type="dxa" w:w="3563"/>
            <w:shd w:fill="D9EAF7"/>
          </w:tcPr>
          <w:p>
            <w:r>
              <w:rPr>
                <w:b/>
                <w:lang w:val="fr-FR" w:eastAsia="fr-FR" w:bidi="fr-FR"/>
              </w:rPr>
              <w:t>TB</w:t>
            </w:r>
          </w:p>
        </w:tc>
      </w:tr>
      <w:tr>
        <w:tc>
          <w:tcPr>
            <w:tcW w:type="dxa" w:w="3563"/>
          </w:tcPr>
          <w:p>
            <w:r>
              <w:rPr>
                <w:lang w:val="fr-FR" w:eastAsia="fr-FR" w:bidi="fr-FR"/>
              </w:rPr>
              <w:t>Non observable / non acquis</w:t>
            </w:r>
          </w:p>
        </w:tc>
        <w:tc>
          <w:tcPr>
            <w:tcW w:type="dxa" w:w="3563"/>
          </w:tcPr>
          <w:p>
            <w:r>
              <w:rPr>
                <w:lang w:val="fr-FR" w:eastAsia="fr-FR" w:bidi="fr-FR"/>
              </w:rPr>
              <w:t>Partiellement acquis</w:t>
            </w:r>
          </w:p>
        </w:tc>
        <w:tc>
          <w:tcPr>
            <w:tcW w:type="dxa" w:w="3563"/>
          </w:tcPr>
          <w:p>
            <w:r>
              <w:rPr>
                <w:lang w:val="fr-FR" w:eastAsia="fr-FR" w:bidi="fr-FR"/>
              </w:rPr>
              <w:t>Acquis</w:t>
            </w:r>
          </w:p>
        </w:tc>
        <w:tc>
          <w:tcPr>
            <w:tcW w:type="dxa" w:w="3563"/>
          </w:tcPr>
          <w:p>
            <w:r>
              <w:rPr>
                <w:lang w:val="fr-FR" w:eastAsia="fr-FR" w:bidi="fr-FR"/>
              </w:rPr>
              <w:t>Très bien acquis</w:t>
            </w:r>
          </w:p>
        </w:tc>
      </w:tr>
    </w:tbl>
    <w:p/>
    <w:p>
      <w:r>
        <w:rPr>
          <w:b/>
          <w:lang w:val="fr-FR" w:eastAsia="fr-FR" w:bidi="fr-FR"/>
        </w:rPr>
        <w:t>Grille d'évaluation</w:t>
      </w:r>
    </w:p>
    <w:tbl>
      <w:tblPr>
        <w:tblStyle w:val="TableGrid"/>
        <w:tblW w:type="auto" w:w="0"/>
        <w:jc w:val="center"/>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3402"/>
            <w:vAlign w:val="center"/>
            <w:shd w:fill="D9EAF7"/>
          </w:tcPr>
          <w:p>
            <w:pPr>
              <w:jc w:val="center"/>
            </w:pPr>
            <w:r>
              <w:rPr>
                <w:b/>
                <w:sz w:val="19"/>
                <w:lang w:val="fr-FR" w:eastAsia="fr-FR" w:bidi="fr-FR"/>
              </w:rPr>
              <w:t>Critère évalué</w:t>
            </w:r>
          </w:p>
        </w:tc>
        <w:tc>
          <w:tcPr>
            <w:tcW w:type="dxa" w:w="4762"/>
            <w:vAlign w:val="center"/>
            <w:shd w:fill="D9EAF7"/>
          </w:tcPr>
          <w:p>
            <w:pPr>
              <w:jc w:val="center"/>
            </w:pPr>
            <w:r>
              <w:rPr>
                <w:b/>
                <w:sz w:val="19"/>
                <w:lang w:val="fr-FR" w:eastAsia="fr-FR" w:bidi="fr-FR"/>
              </w:rPr>
              <w:t>Indicateurs observables / questions d'appui</w:t>
            </w:r>
          </w:p>
        </w:tc>
        <w:tc>
          <w:tcPr>
            <w:tcW w:type="dxa" w:w="510"/>
            <w:vAlign w:val="center"/>
            <w:shd w:fill="D9EAF7"/>
          </w:tcPr>
          <w:p>
            <w:pPr>
              <w:jc w:val="center"/>
            </w:pPr>
            <w:r>
              <w:rPr>
                <w:b/>
                <w:sz w:val="19"/>
                <w:lang w:val="fr-FR" w:eastAsia="fr-FR" w:bidi="fr-FR"/>
              </w:rPr>
              <w:t>NA</w:t>
            </w:r>
          </w:p>
        </w:tc>
        <w:tc>
          <w:tcPr>
            <w:tcW w:type="dxa" w:w="510"/>
            <w:vAlign w:val="center"/>
            <w:shd w:fill="D9EAF7"/>
          </w:tcPr>
          <w:p>
            <w:pPr>
              <w:jc w:val="center"/>
            </w:pPr>
            <w:r>
              <w:rPr>
                <w:b/>
                <w:sz w:val="19"/>
                <w:lang w:val="fr-FR" w:eastAsia="fr-FR" w:bidi="fr-FR"/>
              </w:rPr>
              <w:t>PA</w:t>
            </w:r>
          </w:p>
        </w:tc>
        <w:tc>
          <w:tcPr>
            <w:tcW w:type="dxa" w:w="510"/>
            <w:vAlign w:val="center"/>
            <w:shd w:fill="D9EAF7"/>
          </w:tcPr>
          <w:p>
            <w:pPr>
              <w:jc w:val="center"/>
            </w:pPr>
            <w:r>
              <w:rPr>
                <w:b/>
                <w:sz w:val="19"/>
                <w:lang w:val="fr-FR" w:eastAsia="fr-FR" w:bidi="fr-FR"/>
              </w:rPr>
              <w:t>A</w:t>
            </w:r>
          </w:p>
        </w:tc>
        <w:tc>
          <w:tcPr>
            <w:tcW w:type="dxa" w:w="510"/>
            <w:vAlign w:val="center"/>
            <w:shd w:fill="D9EAF7"/>
          </w:tcPr>
          <w:p>
            <w:pPr>
              <w:jc w:val="center"/>
            </w:pPr>
            <w:r>
              <w:rPr>
                <w:b/>
                <w:sz w:val="19"/>
                <w:lang w:val="fr-FR" w:eastAsia="fr-FR" w:bidi="fr-FR"/>
              </w:rPr>
              <w:t>TB</w:t>
            </w:r>
          </w:p>
        </w:tc>
        <w:tc>
          <w:tcPr>
            <w:tcW w:type="dxa" w:w="3855"/>
            <w:vAlign w:val="center"/>
            <w:shd w:fill="D9EAF7"/>
          </w:tcPr>
          <w:p>
            <w:pPr>
              <w:jc w:val="center"/>
            </w:pPr>
            <w:r>
              <w:rPr>
                <w:b/>
                <w:sz w:val="19"/>
                <w:lang w:val="fr-FR" w:eastAsia="fr-FR" w:bidi="fr-FR"/>
              </w:rPr>
              <w:t>Observations</w:t>
            </w:r>
          </w:p>
        </w:tc>
      </w:tr>
      <w:tr>
        <w:tc>
          <w:tcPr>
            <w:tcW w:type="dxa" w:w="3402"/>
            <w:vAlign w:val="center"/>
          </w:tcPr>
          <w:p>
            <w:pPr>
              <w:spacing w:after="0"/>
            </w:pPr>
            <w:r>
              <w:rPr>
                <w:lang w:val="fr-FR" w:eastAsia="fr-FR" w:bidi="fr-FR"/>
              </w:rPr>
              <w:t>Qualité du rapport ou du dossier en conception en art et industrie ceramique</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l'experience professionnelle</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analysé critique des situations, references et choix de conception</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articulation entre stage et démarche creative</w:t>
            </w:r>
          </w:p>
        </w:tc>
        <w:tc>
          <w:tcPr>
            <w:tcW w:type="dxa" w:w="4762"/>
            <w:vAlign w:val="center"/>
          </w:tcPr>
          <w:p>
            <w:pPr>
              <w:spacing w:after="0"/>
            </w:pPr>
            <w:r>
              <w:rPr>
                <w:lang w:val="fr-FR" w:eastAsia="fr-FR" w:bidi="fr-FR"/>
              </w:rPr>
              <w:t>Éléments observables explicitables dans le support écrit et confirmables lors de l'entretien.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des supports et de la presentation orale</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justification argumentee et recul critique</w:t>
            </w:r>
          </w:p>
        </w:tc>
        <w:tc>
          <w:tcPr>
            <w:tcW w:type="dxa" w:w="4762"/>
            <w:vAlign w:val="center"/>
          </w:tcPr>
          <w:p>
            <w:pPr>
              <w:spacing w:after="0"/>
            </w:pPr>
            <w:r>
              <w:rPr>
                <w:lang w:val="fr-FR" w:eastAsia="fr-FR" w:bidi="fr-FR"/>
              </w:rPr>
              <w:t>Les choix, contraintes, résultats et éventuels écarts sont analysés avec recul professionnel.</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Qualité du rapport (forme, illustrations, orthographe)</w:t>
            </w:r>
          </w:p>
        </w:tc>
        <w:tc>
          <w:tcPr>
            <w:tcW w:type="dxa" w:w="4762"/>
            <w:vAlign w:val="center"/>
          </w:tcPr>
          <w:p>
            <w:pPr>
              <w:spacing w:after="0"/>
            </w:pPr>
            <w:r>
              <w:rPr>
                <w:lang w:val="fr-FR" w:eastAsia="fr-FR" w:bidi="fr-FR"/>
              </w:rPr>
              <w:t>Support lisible, structuré, cohérent avec l'épreuve et directement exploitable pour l'évaluation.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r>
        <w:tc>
          <w:tcPr>
            <w:tcW w:type="dxa" w:w="3402"/>
            <w:vAlign w:val="center"/>
          </w:tcPr>
          <w:p>
            <w:pPr>
              <w:spacing w:after="0"/>
            </w:pPr>
            <w:r>
              <w:rPr>
                <w:lang w:val="fr-FR" w:eastAsia="fr-FR" w:bidi="fr-FR"/>
              </w:rPr>
              <w:t>contextualisation de l'expérience professionnelle et de l'entreprise</w:t>
            </w:r>
          </w:p>
        </w:tc>
        <w:tc>
          <w:tcPr>
            <w:tcW w:type="dxa" w:w="4762"/>
            <w:vAlign w:val="center"/>
          </w:tcPr>
          <w:p>
            <w:pPr>
              <w:spacing w:after="0"/>
            </w:pPr>
            <w:r>
              <w:rPr>
                <w:lang w:val="fr-FR" w:eastAsia="fr-FR" w:bidi="fr-FR"/>
              </w:rPr>
              <w:t>Le candidat situe précisément l'organisation, ses missions et le périmètre de son intervention.</w:t>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510"/>
            <w:vAlign w:val="center"/>
          </w:tcPr>
          <w:p>
            <w:pPr>
              <w:spacing w:after="0"/>
              <w:jc w:val="center"/>
            </w:pPr>
            <w:r>
              <w:rPr>
                <w:lang w:val="fr-FR" w:eastAsia="fr-FR" w:bidi="fr-FR"/>
              </w:rPr>
            </w:r>
          </w:p>
        </w:tc>
        <w:tc>
          <w:tcPr>
            <w:tcW w:type="dxa" w:w="3855"/>
            <w:vAlign w:val="center"/>
          </w:tcPr>
          <w:p>
            <w:pPr>
              <w:spacing w:after="0"/>
            </w:pPr>
            <w:r>
              <w:rPr>
                <w:lang w:val="fr-FR" w:eastAsia="fr-FR" w:bidi="fr-FR"/>
              </w:rPr>
            </w:r>
          </w:p>
        </w:tc>
      </w:tr>
    </w:tbl>
    <w:p/>
    <w:p>
      <w:r>
        <w:rPr>
          <w:b/>
          <w:lang w:val="fr-FR" w:eastAsia="fr-FR" w:bidi="fr-FR"/>
        </w:rPr>
        <w:t>Appréciation synthétique</w:t>
      </w:r>
    </w:p>
    <w:tbl>
      <w:tblPr>
        <w:tblStyle w:val="TableGrid"/>
        <w:tblW w:type="auto" w:w="0"/>
        <w:jc w:val="center"/>
        <w:tblLook w:firstColumn="1" w:firstRow="1" w:lastColumn="0" w:lastRow="0" w:noHBand="0" w:noVBand="1" w:val="04A0"/>
      </w:tblPr>
      <w:tblGrid>
        <w:gridCol w:w="7126"/>
        <w:gridCol w:w="7126"/>
      </w:tblGrid>
      <w:tr>
        <w:tc>
          <w:tcPr>
            <w:tcW w:type="dxa" w:w="3402"/>
            <w:shd w:fill="D9EAF7"/>
          </w:tcPr>
          <w:p>
            <w:r>
              <w:rPr>
                <w:b/>
                <w:lang w:val="fr-FR" w:eastAsia="fr-FR" w:bidi="fr-FR"/>
              </w:rPr>
              <w:t>Points forts observés</w:t>
            </w:r>
          </w:p>
        </w:tc>
        <w:tc>
          <w:tcPr>
            <w:tcW w:type="dxa" w:w="10658"/>
          </w:tcPr>
          <w:p>
            <w:r>
              <w:rPr>
                <w:lang w:val="fr-FR" w:eastAsia="fr-FR" w:bidi="fr-FR"/>
              </w:rPr>
            </w:r>
          </w:p>
        </w:tc>
      </w:tr>
      <w:tr>
        <w:tc>
          <w:tcPr>
            <w:tcW w:type="dxa" w:w="3402"/>
            <w:shd w:fill="D9EAF7"/>
          </w:tcPr>
          <w:p>
            <w:r>
              <w:rPr>
                <w:b/>
                <w:lang w:val="fr-FR" w:eastAsia="fr-FR" w:bidi="fr-FR"/>
              </w:rPr>
              <w:t>Axes de progression / vigilance</w:t>
            </w:r>
          </w:p>
        </w:tc>
        <w:tc>
          <w:tcPr>
            <w:tcW w:type="dxa" w:w="10658"/>
          </w:tcPr>
          <w:p>
            <w:r>
              <w:rPr>
                <w:lang w:val="fr-FR" w:eastAsia="fr-FR" w:bidi="fr-FR"/>
              </w:rPr>
            </w:r>
          </w:p>
        </w:tc>
      </w:tr>
      <w:tr>
        <w:tc>
          <w:tcPr>
            <w:tcW w:type="dxa" w:w="3402"/>
            <w:shd w:fill="D9EAF7"/>
          </w:tcPr>
          <w:p>
            <w:r>
              <w:rPr>
                <w:b/>
                <w:lang w:val="fr-FR" w:eastAsia="fr-FR" w:bidi="fr-FR"/>
              </w:rPr>
              <w:t>Décision / note / positionnement local</w:t>
            </w:r>
          </w:p>
        </w:tc>
        <w:tc>
          <w:tcPr>
            <w:tcW w:type="dxa" w:w="10658"/>
          </w:tcPr>
          <w:p>
            <w:r>
              <w:rPr>
                <w:lang w:val="fr-FR" w:eastAsia="fr-FR" w:bidi="fr-FR"/>
              </w:rPr>
            </w:r>
          </w:p>
        </w:tc>
      </w:tr>
    </w:tbl>
    <w:p/>
    <w:p>
      <w:r>
        <w:rPr>
          <w:b/>
          <w:lang w:val="fr-FR" w:eastAsia="fr-FR" w:bidi="fr-FR"/>
        </w:rPr>
        <w:t>Fondement et sources de reconstitution</w:t>
      </w:r>
    </w:p>
    <w:p>
      <w:r>
        <w:rPr>
          <w:lang w:val="fr-FR" w:eastAsia="fr-FR" w:bidi="fr-FR"/>
        </w:rPr>
        <w:t>Croisement entre le rapport de stage ou d'activités professionnelles et le référentiel ancien du diplome.</w:t>
      </w:r>
    </w:p>
    <w:p>
      <w:r>
        <w:rPr>
          <w:lang w:val="fr-FR" w:eastAsia="fr-FR" w:bidi="fr-FR"/>
        </w:rPr>
        <w:t>Le référentiel du BTS Concepteur en art et industrie céramique met l'accent sur la conception de modèles, la manipulation des matériaux et la mise au point de prototypes. L'épreuve U5.2 évalué la capacité du candidat à s'intégrer professionnellement et à analyser son expérience. Les critères sont reconstitués en croisant les attentes générales d'un rapport de stage (présentation, expression écrite et orale, analysé) avec les spécificités du BTS (conception, démarche créative, analysé critique).</w:t>
      </w:r>
    </w:p>
    <w:p>
      <w:r>
        <w:rPr>
          <w:sz w:val="17"/>
          <w:lang w:val="fr-FR" w:eastAsia="fr-FR" w:bidi="fr-FR"/>
        </w:rPr>
        <w:t>Référentiel : https://www.education.gouv.fr/bo/2009/20/esrs0906079a.html</w:t>
      </w:r>
    </w:p>
    <w:p>
      <w:r>
        <w:rPr>
          <w:sz w:val="17"/>
          <w:lang w:val="fr-FR" w:eastAsia="fr-FR" w:bidi="fr-FR"/>
        </w:rPr>
        <w:t>Source support : https://www.education.gouv.fr/bo/20/Hebdo38/ESRS2019793A.htm</w:t>
      </w:r>
    </w:p>
    <w:sectPr w:rsidR="00FC693F" w:rsidRPr="0006063C" w:rsidSect="00034616">
      <w:pgSz w:w="15840" w:h="12240" w:orient="landscape"/>
      <w:pgMar w:top="737" w:right="794" w:bottom="737"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lang w:val="fr-FR" w:eastAsia="fr-FR" w:bidi="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