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et industrialisation en construction navale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Communication sur les activités réalisées en milieu professionnel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et industrialisation en construction navale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Communication sur les activités réalisées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Communication sur les activités réalisées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Conception et Industrialisation en Construction Navale mentionne qu'une fiche type d'évaluation du travail réalisé, rédigée et mise à jour par l'Inspection Générale, est diffusée aux services rectoraux des examens et concours. Une grille d'évaluation est également proposée pour l'homogénéisation des compétences.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choix de conception, de communication ou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https://sti.eduscol.education.fr/sites/eduscol.education.fr.sti/files/textes/bts/bts-conception-et-industrialisation-en-construction-navale-cicn/9026-bts-conception-et-industrialisation-en-construction-navale-referentiel.pdf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