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Conception et réalisation de carrosserie</w:t>
      </w:r>
    </w:p>
    <w:p>
      <w:pPr>
        <w:jc w:val="center"/>
      </w:pPr>
      <w:r>
        <w:rPr>
          <w:i/>
          <w:sz w:val="21"/>
          <w:lang w:val="fr-FR" w:eastAsia="fr-FR" w:bidi="fr-FR"/>
        </w:rPr>
        <w:t>Support évalué : Suivi de réalisation de produits carrosses en entreprise | Modalité : Ponctuelle</w:t>
      </w:r>
    </w:p>
    <w:p>
      <w:pPr>
        <w:jc w:val="center"/>
      </w:pPr>
      <w:r>
        <w:rPr>
          <w:b/>
          <w:color w:val="C0504D"/>
          <w:lang w:val="fr-FR" w:eastAsia="fr-FR" w:bidi="fr-FR"/>
        </w:rPr>
        <w:t>Trame minimale à compléter</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Conception et réalisation de carrosserie</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Ponctuelle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Sans option spécifiée</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Support present mais pas CCF sur cette sous-epreuve</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Suivi de réalisation de produits carrosses en entreprise</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E6 Suivi de réalisation de produits carrosses en entreprise</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Ponctuelle documentee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Trame minimale à compléter</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Le référentiel d'évaluation du BTS Conception et réalisation de carrosserie est organisé en unités constitutives. L'arrêté définissant le diplôme précise le règlement d'examen et la définition des épreuves ponctuelles et des situations d'évaluation en cours de formation.</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Non retrouvé</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Contextualisation de l'entreprise, du service, du chantier ou de l'environnement professionnel</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Description claire des activités, missions ou productions réalisées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technique et professionnelle des activités présentées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Organisation, suivi et pilotage de l'activité ou du projet en entreprise</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Analyse des choix, contraintes, résultats et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Respect des règles de qualité, de sécurité, de méthode et de traçabilité</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présentation orale et capacité d'argumentation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Aucune grille intégrale publique n'a été isolée ; la fiche repose sur les indices documentaires disponibles pour ce BTS.</w:t>
      </w:r>
    </w:p>
    <w:p>
      <w:r>
        <w:rPr>
          <w:sz w:val="17"/>
          <w:lang w:val="fr-FR" w:eastAsia="fr-FR" w:bidi="fr-FR"/>
        </w:rPr>
        <w:t>Référentiel : https://www.education.gouv.fr/bo/13/Hebdo21/ESRS1307505A.htm</w:t>
      </w:r>
    </w:p>
    <w:p>
      <w:r>
        <w:rPr>
          <w:sz w:val="17"/>
          <w:lang w:val="fr-FR" w:eastAsia="fr-FR" w:bidi="fr-FR"/>
        </w:rPr>
        <w:t>Source support : https://www.education.gouv.fr/bo/20/Hebdo38/ESRS2019793A.htm</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