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Contrôle des rayonnements ionisants et application des techniques de protection</w:t>
      </w:r>
    </w:p>
    <w:p>
      <w:pPr>
        <w:jc w:val="center"/>
      </w:pPr>
      <w:r>
        <w:rPr>
          <w:i/>
          <w:sz w:val="21"/>
          <w:lang w:val="fr-FR" w:eastAsia="fr-FR" w:bidi="fr-FR"/>
        </w:rPr>
        <w:t>Support évalué : Rapport de stage / rapport d'activités | Modalité : Ponctuelle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Contrôle des rayonnements ionisants et application des techniques de protection</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E7 Stage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historique (regime d'examen final)</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BTS CRIATP comporte 6 épreuves écrites, une épreuve de travaux pratiques et une épreuve orale. Les détails des épreuves sont mentionnés dans les résultats de recherche, mais pas de document normalisé public spécifique au jury (grille, fiche, annexe) n'a été trouvé.</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https://www.education.gouv.fr/bo/20/Hebdo38/ESRS2019793A.htm</w:t>
      </w:r>
    </w:p>
    <w:p>
      <w:r>
        <w:rPr>
          <w:sz w:val="17"/>
          <w:lang w:val="fr-FR" w:eastAsia="fr-FR" w:bidi="fr-FR"/>
        </w:rPr>
        <w:t>Source support : https://www.legifrance.gouv.fr/loda/id/JORFTEXT000000438587</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