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Étude et réalisation d'agencement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d'activités en milieu professionnel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Étude et réalisation d'agencement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d'activités en milieu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/ U62 Suivi de la réalisation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documentee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Conformité, structuration et exploitabilité du support remis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a organiser, suivre et justifier une démarche de projet ou de réalisation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https://sti.eduscol.education.fr/sites/eduscol.education.fr.sti/files/textes/bts/bts-etude-et-realisation-dagencement-era/11255-bts-era-annexe-5-definition-des-epreuves.pdf</w:t>
      </w:r>
    </w:p>
    <w:p>
      <w:r>
        <w:rPr>
          <w:sz w:val="17"/>
          <w:lang w:val="fr-FR" w:eastAsia="fr-FR" w:bidi="fr-FR"/>
        </w:rPr>
        <w:t>Source support : https://sti.eduscol.education.fr/sites/eduscol.education.fr.sti/files/textes/bts/bts-etude-et-realisation-dagencement-era/11253-bts-era-annexe-4-reglement-dexamen.pdf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