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Fiche d'evaluation reconstituee - BTS Controle des rayonnements ionisants et application des techniques de protection</w:t>
      </w:r>
    </w:p>
    <w:p>
      <w:pPr>
        <w:jc w:val="center"/>
      </w:pPr>
      <w:r>
        <w:rPr>
          <w:i/>
          <w:sz w:val="21"/>
        </w:rPr>
        <w:t>Support evalue : Stage | Modalite : A confirmer</w:t>
      </w:r>
    </w:p>
    <w:p>
      <w:pPr>
        <w:jc w:val="center"/>
      </w:pPr>
      <w:r>
        <w:rPr>
          <w:b/>
          <w:color w:val="C0504D"/>
        </w:rPr>
        <w:t>Trame minimale a completer</w:t>
      </w:r>
    </w:p>
    <w:p>
      <w:pPr>
        <w:spacing w:after="120"/>
      </w:pPr>
      <w:r>
        <w:rPr>
          <w:i/>
        </w:rPr>
        <w:t>Cette fiche est une reconstitution de travail a partir des sources publiques reperees au 28/04/2026. Elle ne remplace pas un formulaire national opposable lorsqu'une grille officielle complete existe par ailleurs. La modalite exacte (CCF ou ponctuelle) reste a confirmer sur la base des textes disponibles.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rPr>
              <w:t>BTS</w:t>
            </w:r>
          </w:p>
        </w:tc>
        <w:tc>
          <w:tcPr>
            <w:tcW w:type="dxa" w:w="4535"/>
            <w:vAlign w:val="center"/>
          </w:tcPr>
          <w:p>
            <w:r>
              <w:t>BTS Controle des rayonnements ionisants et application des techniques de protection</w:t>
            </w:r>
          </w:p>
        </w:tc>
        <w:tc>
          <w:tcPr>
            <w:tcW w:type="dxa" w:w="1814"/>
            <w:vAlign w:val="center"/>
            <w:shd w:fill="D9EAF7"/>
          </w:tcPr>
          <w:p>
            <w:r>
              <w:rPr>
                <w:b/>
              </w:rPr>
              <w:t>Modalite</w:t>
            </w:r>
          </w:p>
        </w:tc>
        <w:tc>
          <w:tcPr>
            <w:tcW w:type="dxa" w:w="6009"/>
            <w:vAlign w:val="center"/>
          </w:tcPr>
          <w:p>
            <w:r>
              <w:t>A confirmer</w:t>
            </w:r>
          </w:p>
        </w:tc>
      </w:tr>
      <w:tr>
        <w:tc>
          <w:tcPr>
            <w:tcW w:type="dxa" w:w="1814"/>
            <w:vAlign w:val="center"/>
            <w:shd w:fill="D9EAF7"/>
          </w:tcPr>
          <w:p>
            <w:r>
              <w:rPr>
                <w:b/>
              </w:rPr>
              <w:t>Option</w:t>
            </w:r>
          </w:p>
        </w:tc>
        <w:tc>
          <w:tcPr>
            <w:tcW w:type="dxa" w:w="4535"/>
            <w:vAlign w:val="center"/>
          </w:tcPr>
          <w:p>
            <w:r>
              <w:t>Sans option specifiee</w:t>
            </w:r>
          </w:p>
        </w:tc>
        <w:tc>
          <w:tcPr>
            <w:tcW w:type="dxa" w:w="1814"/>
            <w:vAlign w:val="center"/>
            <w:shd w:fill="D9EAF7"/>
          </w:tcPr>
          <w:p>
            <w:r>
              <w:rPr>
                <w:b/>
              </w:rPr>
              <w:t>Statut documentaire</w:t>
            </w:r>
          </w:p>
        </w:tc>
        <w:tc>
          <w:tcPr>
            <w:tcW w:type="dxa" w:w="6009"/>
            <w:vAlign w:val="center"/>
          </w:tcPr>
          <w:p>
            <w:r>
              <w:t>Repere officiel dans l'annexe 2020 - modalite CCF a verifier</w:t>
            </w:r>
          </w:p>
        </w:tc>
      </w:tr>
      <w:tr>
        <w:tc>
          <w:tcPr>
            <w:tcW w:type="dxa" w:w="1814"/>
            <w:vAlign w:val="center"/>
            <w:shd w:fill="D9EAF7"/>
          </w:tcPr>
          <w:p>
            <w:r>
              <w:rPr>
                <w:b/>
              </w:rPr>
              <w:t>Support</w:t>
            </w:r>
          </w:p>
        </w:tc>
        <w:tc>
          <w:tcPr>
            <w:tcW w:type="dxa" w:w="4535"/>
            <w:vAlign w:val="center"/>
          </w:tcPr>
          <w:p>
            <w:r>
              <w:t>Stage</w:t>
            </w:r>
          </w:p>
        </w:tc>
        <w:tc>
          <w:tcPr>
            <w:tcW w:type="dxa" w:w="1814"/>
            <w:vAlign w:val="center"/>
            <w:shd w:fill="D9EAF7"/>
          </w:tcPr>
          <w:p>
            <w:r>
              <w:rPr>
                <w:b/>
              </w:rPr>
              <w:t>Epreuve</w:t>
            </w:r>
          </w:p>
        </w:tc>
        <w:tc>
          <w:tcPr>
            <w:tcW w:type="dxa" w:w="6009"/>
            <w:vAlign w:val="center"/>
          </w:tcPr>
          <w:p>
            <w:r>
              <w:t>E7 Stage</w:t>
            </w:r>
          </w:p>
        </w:tc>
      </w:tr>
      <w:tr>
        <w:tc>
          <w:tcPr>
            <w:tcW w:type="dxa" w:w="1814"/>
            <w:vAlign w:val="center"/>
            <w:shd w:fill="D9EAF7"/>
          </w:tcPr>
          <w:p>
            <w:r>
              <w:rPr>
                <w:b/>
              </w:rPr>
              <w:t>Voies / modalites</w:t>
            </w:r>
          </w:p>
        </w:tc>
        <w:tc>
          <w:tcPr>
            <w:tcW w:type="dxa" w:w="4535"/>
            <w:vAlign w:val="center"/>
          </w:tcPr>
          <w:p>
            <w:r>
              <w:t>Ancrage stage explicite ; support documentaire et modalite CCF a consolider.</w:t>
            </w:r>
          </w:p>
        </w:tc>
        <w:tc>
          <w:tcPr>
            <w:tcW w:type="dxa" w:w="1814"/>
            <w:vAlign w:val="center"/>
            <w:shd w:fill="D9EAF7"/>
          </w:tcPr>
          <w:p>
            <w:r>
              <w:rPr>
                <w:b/>
              </w:rPr>
              <w:t>Niveau de reconstitution</w:t>
            </w:r>
          </w:p>
        </w:tc>
        <w:tc>
          <w:tcPr>
            <w:tcW w:type="dxa" w:w="6009"/>
            <w:vAlign w:val="center"/>
          </w:tcPr>
          <w:p>
            <w:r>
              <w:t>Trame minimale a completer</w:t>
            </w:r>
          </w:p>
        </w:tc>
      </w:tr>
      <w:tr>
        <w:tc>
          <w:tcPr>
            <w:tcW w:type="dxa" w:w="1814"/>
            <w:vAlign w:val="center"/>
            <w:shd w:fill="D9EAF7"/>
          </w:tcPr>
          <w:p>
            <w:r>
              <w:rPr>
                <w:b/>
              </w:rPr>
              <w:t>Sources modele</w:t>
            </w:r>
          </w:p>
        </w:tc>
        <w:tc>
          <w:tcPr>
            <w:tcW w:type="dxa" w:w="4535"/>
            <w:vAlign w:val="center"/>
          </w:tcPr>
          <w:p>
            <w:r>
              <w:t>Le BTS CRIATP comporte 6 épreuves écrites, une épreuve de travaux pratiques et une épreuve orale. Les détails des épreuves sont mentionnés dans les résultats de recherche, mais pas de document normalisé public spécifique au jury (grille, fiche, annexe) n'a été trouvé.</w:t>
            </w:r>
          </w:p>
        </w:tc>
        <w:tc>
          <w:tcPr>
            <w:tcW w:type="dxa" w:w="1814"/>
            <w:vAlign w:val="center"/>
            <w:shd w:fill="D9EAF7"/>
          </w:tcPr>
          <w:p>
            <w:r>
              <w:rPr>
                <w:b/>
              </w:rPr>
              <w:t>Document jury</w:t>
            </w:r>
          </w:p>
        </w:tc>
        <w:tc>
          <w:tcPr>
            <w:tcW w:type="dxa" w:w="6009"/>
            <w:vAlign w:val="center"/>
          </w:tcPr>
          <w:p>
            <w:r>
              <w:t>Non retrouve</w:t>
            </w:r>
          </w:p>
        </w:tc>
      </w:tr>
    </w:tbl>
    <w:p/>
    <w:p>
      <w:r>
        <w:rPr>
          <w:b/>
        </w:rPr>
        <w:t>Echelle de positionnement conseillee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rPr>
              <w:t>NA</w:t>
            </w:r>
          </w:p>
        </w:tc>
        <w:tc>
          <w:tcPr>
            <w:tcW w:type="dxa" w:w="3563"/>
            <w:shd w:fill="D9EAF7"/>
          </w:tcPr>
          <w:p>
            <w:r>
              <w:rPr>
                <w:b/>
              </w:rPr>
              <w:t>PA</w:t>
            </w:r>
          </w:p>
        </w:tc>
        <w:tc>
          <w:tcPr>
            <w:tcW w:type="dxa" w:w="3563"/>
            <w:shd w:fill="D9EAF7"/>
          </w:tcPr>
          <w:p>
            <w:r>
              <w:rPr>
                <w:b/>
              </w:rPr>
              <w:t>A</w:t>
            </w:r>
          </w:p>
        </w:tc>
        <w:tc>
          <w:tcPr>
            <w:tcW w:type="dxa" w:w="3563"/>
            <w:shd w:fill="D9EAF7"/>
          </w:tcPr>
          <w:p>
            <w:r>
              <w:rPr>
                <w:b/>
              </w:rPr>
              <w:t>TB</w:t>
            </w:r>
          </w:p>
        </w:tc>
      </w:tr>
      <w:tr>
        <w:tc>
          <w:tcPr>
            <w:tcW w:type="dxa" w:w="3563"/>
          </w:tcPr>
          <w:p>
            <w:r>
              <w:t>Non observable / non acquis</w:t>
            </w:r>
          </w:p>
        </w:tc>
        <w:tc>
          <w:tcPr>
            <w:tcW w:type="dxa" w:w="3563"/>
          </w:tcPr>
          <w:p>
            <w:r>
              <w:t>Partiellement acquis</w:t>
            </w:r>
          </w:p>
        </w:tc>
        <w:tc>
          <w:tcPr>
            <w:tcW w:type="dxa" w:w="3563"/>
          </w:tcPr>
          <w:p>
            <w:r>
              <w:t>Acquis</w:t>
            </w:r>
          </w:p>
        </w:tc>
        <w:tc>
          <w:tcPr>
            <w:tcW w:type="dxa" w:w="3563"/>
          </w:tcPr>
          <w:p>
            <w:r>
              <w:t>Tres bien acquis</w:t>
            </w:r>
          </w:p>
        </w:tc>
      </w:tr>
    </w:tbl>
    <w:p/>
    <w:p>
      <w:r>
        <w:rPr>
          <w:b/>
        </w:rPr>
        <w:t>Grille d'evaluation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rPr>
              <w:t>Critere evalue</w:t>
            </w:r>
          </w:p>
        </w:tc>
        <w:tc>
          <w:tcPr>
            <w:tcW w:type="dxa" w:w="4762"/>
            <w:vAlign w:val="center"/>
            <w:shd w:fill="D9EAF7"/>
          </w:tcPr>
          <w:p>
            <w:pPr>
              <w:jc w:val="center"/>
            </w:pPr>
            <w:r>
              <w:rPr>
                <w:b/>
                <w:sz w:val="19"/>
              </w:rPr>
              <w:t>Indicateurs observables / questions d'appui</w:t>
            </w:r>
          </w:p>
        </w:tc>
        <w:tc>
          <w:tcPr>
            <w:tcW w:type="dxa" w:w="510"/>
            <w:vAlign w:val="center"/>
            <w:shd w:fill="D9EAF7"/>
          </w:tcPr>
          <w:p>
            <w:pPr>
              <w:jc w:val="center"/>
            </w:pPr>
            <w:r>
              <w:rPr>
                <w:b/>
                <w:sz w:val="19"/>
              </w:rPr>
              <w:t>NA</w:t>
            </w:r>
          </w:p>
        </w:tc>
        <w:tc>
          <w:tcPr>
            <w:tcW w:type="dxa" w:w="510"/>
            <w:vAlign w:val="center"/>
            <w:shd w:fill="D9EAF7"/>
          </w:tcPr>
          <w:p>
            <w:pPr>
              <w:jc w:val="center"/>
            </w:pPr>
            <w:r>
              <w:rPr>
                <w:b/>
                <w:sz w:val="19"/>
              </w:rPr>
              <w:t>PA</w:t>
            </w:r>
          </w:p>
        </w:tc>
        <w:tc>
          <w:tcPr>
            <w:tcW w:type="dxa" w:w="510"/>
            <w:vAlign w:val="center"/>
            <w:shd w:fill="D9EAF7"/>
          </w:tcPr>
          <w:p>
            <w:pPr>
              <w:jc w:val="center"/>
            </w:pPr>
            <w:r>
              <w:rPr>
                <w:b/>
                <w:sz w:val="19"/>
              </w:rPr>
              <w:t>A</w:t>
            </w:r>
          </w:p>
        </w:tc>
        <w:tc>
          <w:tcPr>
            <w:tcW w:type="dxa" w:w="510"/>
            <w:vAlign w:val="center"/>
            <w:shd w:fill="D9EAF7"/>
          </w:tcPr>
          <w:p>
            <w:pPr>
              <w:jc w:val="center"/>
            </w:pPr>
            <w:r>
              <w:rPr>
                <w:b/>
                <w:sz w:val="19"/>
              </w:rPr>
              <w:t>TB</w:t>
            </w:r>
          </w:p>
        </w:tc>
        <w:tc>
          <w:tcPr>
            <w:tcW w:type="dxa" w:w="3855"/>
            <w:vAlign w:val="center"/>
            <w:shd w:fill="D9EAF7"/>
          </w:tcPr>
          <w:p>
            <w:pPr>
              <w:jc w:val="center"/>
            </w:pPr>
            <w:r>
              <w:rPr>
                <w:b/>
                <w:sz w:val="19"/>
              </w:rPr>
              <w:t>Observations</w:t>
            </w:r>
          </w:p>
        </w:tc>
      </w:tr>
      <w:tr>
        <w:tc>
          <w:tcPr>
            <w:tcW w:type="dxa" w:w="3402"/>
            <w:vAlign w:val="center"/>
          </w:tcPr>
          <w:p>
            <w:pPr>
              <w:spacing w:after="0"/>
            </w:pPr>
            <w:r>
              <w:t>Contextualisation de l'entreprise, du service, du chantier ou de l'environnement professionnel</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Description claire des activites, missions ou productions realisees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Maitrise technique et professionnelle des activites presentees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Analyse des choix, contraintes, resultats et ecarts</w:t>
            </w:r>
          </w:p>
        </w:tc>
        <w:tc>
          <w:tcPr>
            <w:tcW w:type="dxa" w:w="4762"/>
            <w:vAlign w:val="center"/>
          </w:tcPr>
          <w:p>
            <w:pPr>
              <w:spacing w:after="0"/>
            </w:pPr>
            <w:r>
              <w:t>Les choix, contraintes, resultats et eventuels ecarts sont analyses avec recul professionnel.</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Respect des regles de qualite, de securite, de methode et de tracabilite</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Qualite de la presentation orale et capacite d'argumentation</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bl>
    <w:p/>
    <w:p>
      <w:r>
        <w:rPr>
          <w:b/>
        </w:rPr>
        <w:t>Appreciation synthetique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rPr>
              <w:t>Points forts observes</w:t>
            </w:r>
          </w:p>
        </w:tc>
        <w:tc>
          <w:tcPr>
            <w:tcW w:type="dxa" w:w="10658"/>
          </w:tcPr>
          <w:p>
            <w:r/>
          </w:p>
        </w:tc>
      </w:tr>
      <w:tr>
        <w:tc>
          <w:tcPr>
            <w:tcW w:type="dxa" w:w="3402"/>
            <w:shd w:fill="D9EAF7"/>
          </w:tcPr>
          <w:p>
            <w:r>
              <w:rPr>
                <w:b/>
              </w:rPr>
              <w:t>Axes de progression / vigilance</w:t>
            </w:r>
          </w:p>
        </w:tc>
        <w:tc>
          <w:tcPr>
            <w:tcW w:type="dxa" w:w="10658"/>
          </w:tcPr>
          <w:p>
            <w:r/>
          </w:p>
        </w:tc>
      </w:tr>
      <w:tr>
        <w:tc>
          <w:tcPr>
            <w:tcW w:type="dxa" w:w="3402"/>
            <w:shd w:fill="D9EAF7"/>
          </w:tcPr>
          <w:p>
            <w:r>
              <w:rPr>
                <w:b/>
              </w:rPr>
              <w:t>Decision / note / positionnement local</w:t>
            </w:r>
          </w:p>
        </w:tc>
        <w:tc>
          <w:tcPr>
            <w:tcW w:type="dxa" w:w="10658"/>
          </w:tcPr>
          <w:p>
            <w:r/>
          </w:p>
        </w:tc>
      </w:tr>
    </w:tbl>
    <w:p/>
    <w:p>
      <w:r>
        <w:rPr>
          <w:b/>
        </w:rPr>
        <w:t>Fondement et sources de reconstitution</w:t>
      </w:r>
    </w:p>
    <w:p>
      <w:r>
        <w:t>Aucune grille integrale publique n'a ete isolee ; la fiche repose sur les indices documentaires disponibles pour ce BTS.</w:t>
      </w:r>
    </w:p>
    <w:p>
      <w:r>
        <w:rPr>
          <w:sz w:val="17"/>
        </w:rPr>
        <w:t>Definition / modalites : https://www.education.gouv.fr/bo/20/Hebdo38/ESRS2019793A.htm</w:t>
      </w:r>
    </w:p>
    <w:p>
      <w:r>
        <w:rPr>
          <w:sz w:val="17"/>
        </w:rPr>
        <w:t>Source support : https://www.education.gouv.fr/sites/default/files/document/BO_38_MESRI_1336465.pdf-291534.pdf</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