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Bioqualite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Relations et communication professionnelles | Modalité : Mixte selon voie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reconstituée à partir de critères officiels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Bioqualite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Mixte selon voie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 ou ponctuelle selon voie ; dossier support confirme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Relations et communication professionnelles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E6 Relations et communication professionnelles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Mixte selon voie (Ponctuelle orale 45 min / CCF 1 situation d'évaluation en formation professionnelle continue publique habilitée)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reconstituée à partir de critères officiels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Aucune grille publique distincte n'a été isolée ; la fiche repose sur le support officiel, la modalité documentee et les exigences de l'épreuve ou de la sous-epreuve.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Contextualisation de l'entreprise, du service, du chantier ou du projet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Description claire des activités, missions, productions ou situations professionnelles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et professionnelle des travaux presentes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des choix, contraintes, résultats et enseignements tires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presentation orale, de l'argumentation et des réponses au jury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Pertinence de la prise en compte des besoins utilisateurs, clients ou du service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sz w:val="17"/>
          <w:lang w:val="fr-FR" w:eastAsia="fr-FR" w:bidi="fr-FR"/>
        </w:rPr>
        <w:t>Référentiel : https://www.legifrance.gouv.fr/jorf/id/JORFTEXT000041728783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