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Conception et réalisation de carrosserie</w:t>
      </w:r>
    </w:p>
    <w:p>
      <w:pPr>
        <w:jc w:val="center"/>
      </w:pPr>
      <w:r>
        <w:rPr>
          <w:i/>
          <w:sz w:val="21"/>
          <w:lang w:val="fr-FR" w:eastAsia="fr-FR" w:bidi="fr-FR"/>
        </w:rPr>
        <w:t>Support évalué : Suivi de réalisation de produits carrosses en entreprise | Modalité : Ponctuelle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Conception et réalisation de carrosserie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Ponctuelle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Support present mais pas CCF sur cette sous-epreuve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Suivi de réalisation de produits carrosses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Suivi de réalisation de produits carrosses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Ponctuelle documentee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référentiel d'évaluation du BTS Conception et réalisation de carrosserie est organisé en unités constitutives. L'arrêté définissant le diplôme précise le règlement d'examen et la définition des épreuves ponctuelles et des situations d'évaluation en cours de formation.</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https://www.education.gouv.fr/bo/13/Hebdo21/ESRS1307505A.htm</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