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Conception et réalisation en chaudronnerie industrielle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Organisation et suivi de la réalisation, prefabrication, installation et de la maintenance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Conception et réalisation en chaudronnerie industrielle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Organisation et suivi de la réalisation, prefabrication, installation et de la maintenance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Organisation et suivi de la réalisation, prefabrication, installation et de la maintenance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a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prise en compte des besoins utilisateurs, clients ou du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https://sti.eduscol.education.fr/sites/eduscol.education.fr.sti/files/textes/bts/bts-conception-et-realisation-en-chaudronnerie-industrielle-crci-partir-de-2018/9967-bts-crci-referentiel.pdf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