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  <w:lang w:val="fr-FR" w:eastAsia="fr-FR" w:bidi="fr-FR"/>
        </w:rPr>
        <w:t>Fiche d'évaluation reconstituée - BTS Management commercial operationnel</w:t>
      </w:r>
    </w:p>
    <w:p>
      <w:pPr>
        <w:jc w:val="center"/>
      </w:pPr>
      <w:r>
        <w:rPr>
          <w:i/>
          <w:sz w:val="21"/>
          <w:lang w:val="fr-FR" w:eastAsia="fr-FR" w:bidi="fr-FR"/>
        </w:rPr>
        <w:t>Support évalué : Développement de la relation client et vente conseil | Modalité : Mixte selon voie</w:t>
      </w:r>
    </w:p>
    <w:p>
      <w:pPr>
        <w:jc w:val="center"/>
      </w:pPr>
      <w:r>
        <w:rPr>
          <w:b/>
          <w:color w:val="4F81BD"/>
          <w:lang w:val="fr-FR" w:eastAsia="fr-FR" w:bidi="fr-FR"/>
        </w:rPr>
        <w:t>Fiche reconstituée à partir de critères officiels</w:t>
      </w:r>
    </w:p>
    <w:p>
      <w:pPr>
        <w:spacing w:after="120"/>
      </w:pPr>
      <w:r>
        <w:rPr>
          <w:i/>
          <w:lang w:val="fr-FR" w:eastAsia="fr-FR" w:bidi="fr-FR"/>
        </w:rPr>
        <w:t>Cette fiche est une reconstitution de travail à partir des sources publiques repérées au 2026-05-06. Elle ne remplace pas un formulaire national opposable lorsqu'une grille officielle complète existe par ailleurs.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BTS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BTS Management commercial operationnel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Modalité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Mixte selon voie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Option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Sans option spécifiée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Statut documentaire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CCF ou ponctuelle selon voie ; dossier support confirme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Support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Développement de la relation client et vente conseil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Épreuve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E41 Développement de la relation client et vente conseil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Voies / modalités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Mixte selon voie (CCF 2 situations d'évaluation / Ponctuelle orale 30 min)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Niveau de reconstitution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Fiche reconstituée à partir de critères officiels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Sources modèle</w:t>
            </w:r>
          </w:p>
        </w:tc>
        <w:tc>
          <w:tcPr>
            <w:tcW w:type="dxa" w:w="4535"/>
            <w:vAlign w:val="center"/>
          </w:tcPr>
          <w:p>
            <w:r>
              <w:rPr>
                <w:lang w:val="fr-FR" w:eastAsia="fr-FR" w:bidi="fr-FR"/>
              </w:rPr>
              <w:t>Aucune grille publique distincte n'a été isolée ; la fiche repose sur le support officiel, la modalité documentee et les exigences de l'épreuve ou de la sous-epreuve.</w:t>
            </w:r>
          </w:p>
        </w:tc>
        <w:tc>
          <w:tcPr>
            <w:tcW w:type="dxa" w:w="1814"/>
            <w:vAlign w:val="center"/>
            <w:shd w:fill="D9EAF7"/>
          </w:tcPr>
          <w:p>
            <w:r>
              <w:rPr>
                <w:b/>
                <w:lang w:val="fr-FR" w:eastAsia="fr-FR" w:bidi="fr-FR"/>
              </w:rPr>
              <w:t>Document jury</w:t>
            </w:r>
          </w:p>
        </w:tc>
        <w:tc>
          <w:tcPr>
            <w:tcW w:type="dxa" w:w="6009"/>
            <w:vAlign w:val="center"/>
          </w:tcPr>
          <w:p>
            <w:r>
              <w:rPr>
                <w:lang w:val="fr-FR" w:eastAsia="fr-FR" w:bidi="fr-FR"/>
              </w:rPr>
              <w:t>Non retrouvé</w:t>
            </w:r>
          </w:p>
        </w:tc>
      </w:tr>
    </w:tbl>
    <w:p/>
    <w:p>
      <w:r>
        <w:rPr>
          <w:b/>
          <w:lang w:val="fr-FR" w:eastAsia="fr-FR" w:bidi="fr-FR"/>
        </w:rPr>
        <w:t>Échelle de positionnement conseillée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563"/>
        <w:gridCol w:w="3563"/>
        <w:gridCol w:w="3563"/>
        <w:gridCol w:w="3563"/>
      </w:tblGrid>
      <w:tr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NA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PA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A</w:t>
            </w:r>
          </w:p>
        </w:tc>
        <w:tc>
          <w:tcPr>
            <w:tcW w:type="dxa" w:w="3563"/>
            <w:shd w:fill="D9EAF7"/>
          </w:tcPr>
          <w:p>
            <w:r>
              <w:rPr>
                <w:b/>
                <w:lang w:val="fr-FR" w:eastAsia="fr-FR" w:bidi="fr-FR"/>
              </w:rPr>
              <w:t>TB</w:t>
            </w:r>
          </w:p>
        </w:tc>
      </w:tr>
      <w:tr>
        <w:tc>
          <w:tcPr>
            <w:tcW w:type="dxa" w:w="3563"/>
          </w:tcPr>
          <w:p>
            <w:r>
              <w:rPr>
                <w:lang w:val="fr-FR" w:eastAsia="fr-FR" w:bidi="fr-FR"/>
              </w:rPr>
              <w:t>Non observable / non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Partiellement 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Acquis</w:t>
            </w:r>
          </w:p>
        </w:tc>
        <w:tc>
          <w:tcPr>
            <w:tcW w:type="dxa" w:w="3563"/>
          </w:tcPr>
          <w:p>
            <w:r>
              <w:rPr>
                <w:lang w:val="fr-FR" w:eastAsia="fr-FR" w:bidi="fr-FR"/>
              </w:rPr>
              <w:t>Très bien acquis</w:t>
            </w:r>
          </w:p>
        </w:tc>
      </w:tr>
    </w:tbl>
    <w:p/>
    <w:p>
      <w:r>
        <w:rPr>
          <w:b/>
          <w:lang w:val="fr-FR" w:eastAsia="fr-FR" w:bidi="fr-FR"/>
        </w:rPr>
        <w:t>Grille d'évaluation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36"/>
        <w:gridCol w:w="2036"/>
        <w:gridCol w:w="2036"/>
        <w:gridCol w:w="2036"/>
        <w:gridCol w:w="2036"/>
        <w:gridCol w:w="2036"/>
        <w:gridCol w:w="2036"/>
      </w:tblGrid>
      <w:tr>
        <w:trPr>
          <w:tblHeader w:val="true"/>
        </w:trPr>
        <w:tc>
          <w:tcPr>
            <w:tcW w:type="dxa" w:w="340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Critère évalué</w:t>
            </w:r>
          </w:p>
        </w:tc>
        <w:tc>
          <w:tcPr>
            <w:tcW w:type="dxa" w:w="4762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Indicateurs observables / questions d'appui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NA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PA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A</w:t>
            </w:r>
          </w:p>
        </w:tc>
        <w:tc>
          <w:tcPr>
            <w:tcW w:type="dxa" w:w="510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TB</w:t>
            </w:r>
          </w:p>
        </w:tc>
        <w:tc>
          <w:tcPr>
            <w:tcW w:type="dxa" w:w="3855"/>
            <w:vAlign w:val="center"/>
            <w:shd w:fill="D9EAF7"/>
          </w:tcPr>
          <w:p>
            <w:pPr>
              <w:jc w:val="center"/>
            </w:pPr>
            <w:r>
              <w:rPr>
                <w:b/>
                <w:sz w:val="19"/>
                <w:lang w:val="fr-FR" w:eastAsia="fr-FR" w:bidi="fr-FR"/>
              </w:rPr>
              <w:t>Observations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Contextualisation de l'entreprise, du service, du chantier ou du projet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Description claire des activités, missions, productions ou situations professionnelles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Maîtrise technique et professionnelle des travaux presentes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techniques, outils et méthodes mobilisés sont expliqués et justifiés avec exactitude.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Analysé des choix, contraintes, résultats et enseignements tires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Les choix, contraintes, résultats et éventuels écarts sont analysés avec recul professionnel.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Qualité de la presentation orale, de l'argumentation et des réponses au jury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Expression claire, structurée, argumentée et adaptée au questionnement du jury.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Pertinence de la prise en compte des besoins utilisateurs, clients ou du service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  <w:t>Le candidat situe précisément l'organisation, ses missions et le périmètre de son intervention.</w:t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510"/>
            <w:vAlign w:val="center"/>
          </w:tcPr>
          <w:p>
            <w:pPr>
              <w:spacing w:after="0"/>
              <w:jc w:val="center"/>
            </w:pPr>
            <w:r>
              <w:rPr>
                <w:lang w:val="fr-FR" w:eastAsia="fr-FR" w:bidi="fr-FR"/>
              </w:rPr>
            </w:r>
          </w:p>
        </w:tc>
        <w:tc>
          <w:tcPr>
            <w:tcW w:type="dxa" w:w="3855"/>
            <w:vAlign w:val="center"/>
          </w:tcPr>
          <w:p>
            <w:pPr>
              <w:spacing w:after="0"/>
            </w:pPr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Appréciation synthétique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126"/>
        <w:gridCol w:w="7126"/>
      </w:tblGrid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Points forts observés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Axes de progression / vigilance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  <w:tr>
        <w:tc>
          <w:tcPr>
            <w:tcW w:type="dxa" w:w="3402"/>
            <w:shd w:fill="D9EAF7"/>
          </w:tcPr>
          <w:p>
            <w:r>
              <w:rPr>
                <w:b/>
                <w:lang w:val="fr-FR" w:eastAsia="fr-FR" w:bidi="fr-FR"/>
              </w:rPr>
              <w:t>Décision / note / positionnement local</w:t>
            </w:r>
          </w:p>
        </w:tc>
        <w:tc>
          <w:tcPr>
            <w:tcW w:type="dxa" w:w="10658"/>
          </w:tcPr>
          <w:p>
            <w:r>
              <w:rPr>
                <w:lang w:val="fr-FR" w:eastAsia="fr-FR" w:bidi="fr-FR"/>
              </w:rPr>
            </w:r>
          </w:p>
        </w:tc>
      </w:tr>
    </w:tbl>
    <w:p/>
    <w:p>
      <w:r>
        <w:rPr>
          <w:b/>
          <w:lang w:val="fr-FR" w:eastAsia="fr-FR" w:bidi="fr-FR"/>
        </w:rPr>
        <w:t>Fondement et sources de reconstitution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lang w:val="fr-FR" w:eastAsia="fr-FR" w:bidi="fr-FR"/>
        </w:rPr>
        <w:t>Reconstitution locale à partir des sources consolidees 2026-05-06 : support officiel, modalité d'évaluation documentee et inventaire familial stabilise.</w:t>
      </w:r>
    </w:p>
    <w:p>
      <w:r>
        <w:rPr>
          <w:sz w:val="17"/>
          <w:lang w:val="fr-FR" w:eastAsia="fr-FR" w:bidi="fr-FR"/>
        </w:rPr>
        <w:t>Référentiel : https://www.legifrance.gouv.fr/jorf/article_jo/JORFARTI000037562639</w:t>
      </w:r>
    </w:p>
    <w:sectPr w:rsidR="00FC693F" w:rsidRPr="0006063C" w:rsidSect="00034616">
      <w:pgSz w:w="15840" w:h="12240" w:orient="landscape"/>
      <w:pgMar w:top="737" w:right="794" w:bottom="73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  <w:lang w:val="fr-FR" w:eastAsia="fr-FR" w:bidi="fr-F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