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lang w:val="fr-FR" w:eastAsia="fr-FR" w:bidi="fr-FR"/>
        </w:rPr>
        <w:t>Fiche d'évaluation reconstituée - BTS Traitements des materiaux</w:t>
      </w:r>
    </w:p>
    <w:p>
      <w:pPr>
        <w:jc w:val="center"/>
      </w:pPr>
      <w:r>
        <w:rPr>
          <w:i/>
          <w:sz w:val="21"/>
          <w:lang w:val="fr-FR" w:eastAsia="fr-FR" w:bidi="fr-FR"/>
        </w:rPr>
        <w:t>Support évalué : Rapport de stage / rapport d'activités | Modalité : CCF | Option : Options A et B</w:t>
      </w:r>
    </w:p>
    <w:p>
      <w:pPr>
        <w:jc w:val="center"/>
      </w:pPr>
      <w:r>
        <w:rPr>
          <w:b/>
          <w:color w:val="4F81BD"/>
          <w:lang w:val="fr-FR" w:eastAsia="fr-FR" w:bidi="fr-FR"/>
        </w:rPr>
        <w:t>Fiche reconstituée à partir de critères officiels</w:t>
      </w:r>
    </w:p>
    <w:p>
      <w:pPr>
        <w:spacing w:after="120"/>
      </w:pPr>
      <w:r>
        <w:rPr>
          <w:i/>
          <w:lang w:val="fr-FR" w:eastAsia="fr-FR" w:bidi="fr-FR"/>
        </w:rPr>
        <w:t>Cette fiche est une reconstitution de travail à partir des sources publiques repérées au 2026-05-06. Elle ne remplace pas un formulaire national opposable lorsqu'une grille officielle complète existe par ailleurs.</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1814"/>
            <w:vAlign w:val="center"/>
            <w:shd w:fill="D9EAF7"/>
          </w:tcPr>
          <w:p>
            <w:r>
              <w:rPr>
                <w:b/>
                <w:lang w:val="fr-FR" w:eastAsia="fr-FR" w:bidi="fr-FR"/>
              </w:rPr>
              <w:t>BTS</w:t>
            </w:r>
          </w:p>
        </w:tc>
        <w:tc>
          <w:tcPr>
            <w:tcW w:type="dxa" w:w="4535"/>
            <w:vAlign w:val="center"/>
          </w:tcPr>
          <w:p>
            <w:r>
              <w:rPr>
                <w:lang w:val="fr-FR" w:eastAsia="fr-FR" w:bidi="fr-FR"/>
              </w:rPr>
              <w:t>BTS Traitements des materiaux</w:t>
            </w:r>
          </w:p>
        </w:tc>
        <w:tc>
          <w:tcPr>
            <w:tcW w:type="dxa" w:w="1814"/>
            <w:vAlign w:val="center"/>
            <w:shd w:fill="D9EAF7"/>
          </w:tcPr>
          <w:p>
            <w:r>
              <w:rPr>
                <w:b/>
                <w:lang w:val="fr-FR" w:eastAsia="fr-FR" w:bidi="fr-FR"/>
              </w:rPr>
              <w:t>Modalité</w:t>
            </w:r>
          </w:p>
        </w:tc>
        <w:tc>
          <w:tcPr>
            <w:tcW w:type="dxa" w:w="6009"/>
            <w:vAlign w:val="center"/>
          </w:tcPr>
          <w:p>
            <w:r>
              <w:rPr>
                <w:lang w:val="fr-FR" w:eastAsia="fr-FR" w:bidi="fr-FR"/>
              </w:rPr>
              <w:t>CCF</w:t>
            </w:r>
          </w:p>
        </w:tc>
      </w:tr>
      <w:tr>
        <w:tc>
          <w:tcPr>
            <w:tcW w:type="dxa" w:w="1814"/>
            <w:vAlign w:val="center"/>
            <w:shd w:fill="D9EAF7"/>
          </w:tcPr>
          <w:p>
            <w:r>
              <w:rPr>
                <w:b/>
                <w:lang w:val="fr-FR" w:eastAsia="fr-FR" w:bidi="fr-FR"/>
              </w:rPr>
              <w:t>Option</w:t>
            </w:r>
          </w:p>
        </w:tc>
        <w:tc>
          <w:tcPr>
            <w:tcW w:type="dxa" w:w="4535"/>
            <w:vAlign w:val="center"/>
          </w:tcPr>
          <w:p>
            <w:r>
              <w:rPr>
                <w:lang w:val="fr-FR" w:eastAsia="fr-FR" w:bidi="fr-FR"/>
              </w:rPr>
              <w:t>Options A et B</w:t>
            </w:r>
          </w:p>
        </w:tc>
        <w:tc>
          <w:tcPr>
            <w:tcW w:type="dxa" w:w="1814"/>
            <w:vAlign w:val="center"/>
            <w:shd w:fill="D9EAF7"/>
          </w:tcPr>
          <w:p>
            <w:r>
              <w:rPr>
                <w:b/>
                <w:lang w:val="fr-FR" w:eastAsia="fr-FR" w:bidi="fr-FR"/>
              </w:rPr>
              <w:t>Statut documentaire</w:t>
            </w:r>
          </w:p>
        </w:tc>
        <w:tc>
          <w:tcPr>
            <w:tcW w:type="dxa" w:w="6009"/>
            <w:vAlign w:val="center"/>
          </w:tcPr>
          <w:p>
            <w:r>
              <w:rPr>
                <w:lang w:val="fr-FR" w:eastAsia="fr-FR" w:bidi="fr-FR"/>
              </w:rPr>
              <w:t>CCF confirme</w:t>
            </w:r>
          </w:p>
        </w:tc>
      </w:tr>
      <w:tr>
        <w:tc>
          <w:tcPr>
            <w:tcW w:type="dxa" w:w="1814"/>
            <w:vAlign w:val="center"/>
            <w:shd w:fill="D9EAF7"/>
          </w:tcPr>
          <w:p>
            <w:r>
              <w:rPr>
                <w:b/>
                <w:lang w:val="fr-FR" w:eastAsia="fr-FR" w:bidi="fr-FR"/>
              </w:rPr>
              <w:t>Support</w:t>
            </w:r>
          </w:p>
        </w:tc>
        <w:tc>
          <w:tcPr>
            <w:tcW w:type="dxa" w:w="4535"/>
            <w:vAlign w:val="center"/>
          </w:tcPr>
          <w:p>
            <w:r>
              <w:rPr>
                <w:lang w:val="fr-FR" w:eastAsia="fr-FR" w:bidi="fr-FR"/>
              </w:rPr>
              <w:t>Rapport de stage / rapport d'activités</w:t>
            </w:r>
          </w:p>
        </w:tc>
        <w:tc>
          <w:tcPr>
            <w:tcW w:type="dxa" w:w="1814"/>
            <w:vAlign w:val="center"/>
            <w:shd w:fill="D9EAF7"/>
          </w:tcPr>
          <w:p>
            <w:r>
              <w:rPr>
                <w:b/>
                <w:lang w:val="fr-FR" w:eastAsia="fr-FR" w:bidi="fr-FR"/>
              </w:rPr>
              <w:t>Épreuve</w:t>
            </w:r>
          </w:p>
        </w:tc>
        <w:tc>
          <w:tcPr>
            <w:tcW w:type="dxa" w:w="6009"/>
            <w:vAlign w:val="center"/>
          </w:tcPr>
          <w:p>
            <w:r>
              <w:rPr>
                <w:lang w:val="fr-FR" w:eastAsia="fr-FR" w:bidi="fr-FR"/>
              </w:rPr>
              <w:t>U61|U62 | U6.2 / E62 Rapport de stage en milieu professionnel</w:t>
            </w:r>
          </w:p>
        </w:tc>
      </w:tr>
      <w:tr>
        <w:tc>
          <w:tcPr>
            <w:tcW w:type="dxa" w:w="1814"/>
            <w:vAlign w:val="center"/>
            <w:shd w:fill="D9EAF7"/>
          </w:tcPr>
          <w:p>
            <w:r>
              <w:rPr>
                <w:b/>
                <w:lang w:val="fr-FR" w:eastAsia="fr-FR" w:bidi="fr-FR"/>
              </w:rPr>
              <w:t>Voies / modalités</w:t>
            </w:r>
          </w:p>
        </w:tc>
        <w:tc>
          <w:tcPr>
            <w:tcW w:type="dxa" w:w="4535"/>
            <w:vAlign w:val="center"/>
          </w:tcPr>
          <w:p>
            <w:r>
              <w:rPr>
                <w:lang w:val="fr-FR" w:eastAsia="fr-FR" w:bidi="fr-FR"/>
              </w:rPr>
              <w:t>CCF confirme</w:t>
            </w:r>
          </w:p>
        </w:tc>
        <w:tc>
          <w:tcPr>
            <w:tcW w:type="dxa" w:w="1814"/>
            <w:vAlign w:val="center"/>
            <w:shd w:fill="D9EAF7"/>
          </w:tcPr>
          <w:p>
            <w:r>
              <w:rPr>
                <w:b/>
                <w:lang w:val="fr-FR" w:eastAsia="fr-FR" w:bidi="fr-FR"/>
              </w:rPr>
              <w:t>Niveau de reconstitution</w:t>
            </w:r>
          </w:p>
        </w:tc>
        <w:tc>
          <w:tcPr>
            <w:tcW w:type="dxa" w:w="6009"/>
            <w:vAlign w:val="center"/>
          </w:tcPr>
          <w:p>
            <w:r>
              <w:rPr>
                <w:lang w:val="fr-FR" w:eastAsia="fr-FR" w:bidi="fr-FR"/>
              </w:rPr>
              <w:t>Fiche reconstituée à partir de critères officiels</w:t>
            </w:r>
          </w:p>
        </w:tc>
      </w:tr>
      <w:tr>
        <w:tc>
          <w:tcPr>
            <w:tcW w:type="dxa" w:w="1814"/>
            <w:vAlign w:val="center"/>
            <w:shd w:fill="D9EAF7"/>
          </w:tcPr>
          <w:p>
            <w:r>
              <w:rPr>
                <w:b/>
                <w:lang w:val="fr-FR" w:eastAsia="fr-FR" w:bidi="fr-FR"/>
              </w:rPr>
              <w:t>Sources modèle</w:t>
            </w:r>
          </w:p>
        </w:tc>
        <w:tc>
          <w:tcPr>
            <w:tcW w:type="dxa" w:w="4535"/>
            <w:vAlign w:val="center"/>
          </w:tcPr>
          <w:p>
            <w:r>
              <w:rPr>
                <w:lang w:val="fr-FR" w:eastAsia="fr-FR" w:bidi="fr-FR"/>
              </w:rPr>
              <w:t>Le rapport de stage en milieu professionnel est explicite, mais la grille detaillee n'a pas ete retrouvée publiquement.</w:t>
            </w:r>
          </w:p>
        </w:tc>
        <w:tc>
          <w:tcPr>
            <w:tcW w:type="dxa" w:w="1814"/>
            <w:vAlign w:val="center"/>
            <w:shd w:fill="D9EAF7"/>
          </w:tcPr>
          <w:p>
            <w:r>
              <w:rPr>
                <w:b/>
                <w:lang w:val="fr-FR" w:eastAsia="fr-FR" w:bidi="fr-FR"/>
              </w:rPr>
              <w:t>Document jury</w:t>
            </w:r>
          </w:p>
        </w:tc>
        <w:tc>
          <w:tcPr>
            <w:tcW w:type="dxa" w:w="6009"/>
            <w:vAlign w:val="center"/>
          </w:tcPr>
          <w:p>
            <w:r>
              <w:rPr>
                <w:lang w:val="fr-FR" w:eastAsia="fr-FR" w:bidi="fr-FR"/>
              </w:rPr>
              <w:t>Non retrouvé</w:t>
            </w:r>
          </w:p>
        </w:tc>
      </w:tr>
    </w:tbl>
    <w:p/>
    <w:p>
      <w:r>
        <w:rPr>
          <w:b/>
          <w:lang w:val="fr-FR" w:eastAsia="fr-FR" w:bidi="fr-FR"/>
        </w:rPr>
        <w:t>Échelle de positionnement conseillée</w:t>
      </w:r>
    </w:p>
    <w:tbl>
      <w:tblPr>
        <w:tblStyle w:val="TableGrid"/>
        <w:tblW w:type="auto" w:w="0"/>
        <w:jc w:val="left"/>
        <w:tblLook w:firstColumn="1" w:firstRow="1" w:lastColumn="0" w:lastRow="0" w:noHBand="0" w:noVBand="1" w:val="04A0"/>
      </w:tblPr>
      <w:tblGrid>
        <w:gridCol w:w="3563"/>
        <w:gridCol w:w="3563"/>
        <w:gridCol w:w="3563"/>
        <w:gridCol w:w="3563"/>
      </w:tblGrid>
      <w:tr>
        <w:tc>
          <w:tcPr>
            <w:tcW w:type="dxa" w:w="3563"/>
            <w:shd w:fill="D9EAF7"/>
          </w:tcPr>
          <w:p>
            <w:r>
              <w:rPr>
                <w:b/>
                <w:lang w:val="fr-FR" w:eastAsia="fr-FR" w:bidi="fr-FR"/>
              </w:rPr>
              <w:t>NA</w:t>
            </w:r>
          </w:p>
        </w:tc>
        <w:tc>
          <w:tcPr>
            <w:tcW w:type="dxa" w:w="3563"/>
            <w:shd w:fill="D9EAF7"/>
          </w:tcPr>
          <w:p>
            <w:r>
              <w:rPr>
                <w:b/>
                <w:lang w:val="fr-FR" w:eastAsia="fr-FR" w:bidi="fr-FR"/>
              </w:rPr>
              <w:t>PA</w:t>
            </w:r>
          </w:p>
        </w:tc>
        <w:tc>
          <w:tcPr>
            <w:tcW w:type="dxa" w:w="3563"/>
            <w:shd w:fill="D9EAF7"/>
          </w:tcPr>
          <w:p>
            <w:r>
              <w:rPr>
                <w:b/>
                <w:lang w:val="fr-FR" w:eastAsia="fr-FR" w:bidi="fr-FR"/>
              </w:rPr>
              <w:t>A</w:t>
            </w:r>
          </w:p>
        </w:tc>
        <w:tc>
          <w:tcPr>
            <w:tcW w:type="dxa" w:w="3563"/>
            <w:shd w:fill="D9EAF7"/>
          </w:tcPr>
          <w:p>
            <w:r>
              <w:rPr>
                <w:b/>
                <w:lang w:val="fr-FR" w:eastAsia="fr-FR" w:bidi="fr-FR"/>
              </w:rPr>
              <w:t>TB</w:t>
            </w:r>
          </w:p>
        </w:tc>
      </w:tr>
      <w:tr>
        <w:tc>
          <w:tcPr>
            <w:tcW w:type="dxa" w:w="3563"/>
          </w:tcPr>
          <w:p>
            <w:r>
              <w:rPr>
                <w:lang w:val="fr-FR" w:eastAsia="fr-FR" w:bidi="fr-FR"/>
              </w:rPr>
              <w:t>Non observable / non acquis</w:t>
            </w:r>
          </w:p>
        </w:tc>
        <w:tc>
          <w:tcPr>
            <w:tcW w:type="dxa" w:w="3563"/>
          </w:tcPr>
          <w:p>
            <w:r>
              <w:rPr>
                <w:lang w:val="fr-FR" w:eastAsia="fr-FR" w:bidi="fr-FR"/>
              </w:rPr>
              <w:t>Partiellement acquis</w:t>
            </w:r>
          </w:p>
        </w:tc>
        <w:tc>
          <w:tcPr>
            <w:tcW w:type="dxa" w:w="3563"/>
          </w:tcPr>
          <w:p>
            <w:r>
              <w:rPr>
                <w:lang w:val="fr-FR" w:eastAsia="fr-FR" w:bidi="fr-FR"/>
              </w:rPr>
              <w:t>Acquis</w:t>
            </w:r>
          </w:p>
        </w:tc>
        <w:tc>
          <w:tcPr>
            <w:tcW w:type="dxa" w:w="3563"/>
          </w:tcPr>
          <w:p>
            <w:r>
              <w:rPr>
                <w:lang w:val="fr-FR" w:eastAsia="fr-FR" w:bidi="fr-FR"/>
              </w:rPr>
              <w:t>Très bien acquis</w:t>
            </w:r>
          </w:p>
        </w:tc>
      </w:tr>
    </w:tbl>
    <w:p/>
    <w:p>
      <w:r>
        <w:rPr>
          <w:b/>
          <w:lang w:val="fr-FR" w:eastAsia="fr-FR" w:bidi="fr-FR"/>
        </w:rPr>
        <w:t>Grille d'évaluation</w:t>
      </w:r>
    </w:p>
    <w:tbl>
      <w:tblPr>
        <w:tblStyle w:val="TableGrid"/>
        <w:tblW w:type="auto" w:w="0"/>
        <w:jc w:val="center"/>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3402"/>
            <w:vAlign w:val="center"/>
            <w:shd w:fill="D9EAF7"/>
          </w:tcPr>
          <w:p>
            <w:pPr>
              <w:jc w:val="center"/>
            </w:pPr>
            <w:r>
              <w:rPr>
                <w:b/>
                <w:sz w:val="19"/>
                <w:lang w:val="fr-FR" w:eastAsia="fr-FR" w:bidi="fr-FR"/>
              </w:rPr>
              <w:t>Critère évalué</w:t>
            </w:r>
          </w:p>
        </w:tc>
        <w:tc>
          <w:tcPr>
            <w:tcW w:type="dxa" w:w="4762"/>
            <w:vAlign w:val="center"/>
            <w:shd w:fill="D9EAF7"/>
          </w:tcPr>
          <w:p>
            <w:pPr>
              <w:jc w:val="center"/>
            </w:pPr>
            <w:r>
              <w:rPr>
                <w:b/>
                <w:sz w:val="19"/>
                <w:lang w:val="fr-FR" w:eastAsia="fr-FR" w:bidi="fr-FR"/>
              </w:rPr>
              <w:t>Indicateurs observables / questions d'appui</w:t>
            </w:r>
          </w:p>
        </w:tc>
        <w:tc>
          <w:tcPr>
            <w:tcW w:type="dxa" w:w="510"/>
            <w:vAlign w:val="center"/>
            <w:shd w:fill="D9EAF7"/>
          </w:tcPr>
          <w:p>
            <w:pPr>
              <w:jc w:val="center"/>
            </w:pPr>
            <w:r>
              <w:rPr>
                <w:b/>
                <w:sz w:val="19"/>
                <w:lang w:val="fr-FR" w:eastAsia="fr-FR" w:bidi="fr-FR"/>
              </w:rPr>
              <w:t>NA</w:t>
            </w:r>
          </w:p>
        </w:tc>
        <w:tc>
          <w:tcPr>
            <w:tcW w:type="dxa" w:w="510"/>
            <w:vAlign w:val="center"/>
            <w:shd w:fill="D9EAF7"/>
          </w:tcPr>
          <w:p>
            <w:pPr>
              <w:jc w:val="center"/>
            </w:pPr>
            <w:r>
              <w:rPr>
                <w:b/>
                <w:sz w:val="19"/>
                <w:lang w:val="fr-FR" w:eastAsia="fr-FR" w:bidi="fr-FR"/>
              </w:rPr>
              <w:t>PA</w:t>
            </w:r>
          </w:p>
        </w:tc>
        <w:tc>
          <w:tcPr>
            <w:tcW w:type="dxa" w:w="510"/>
            <w:vAlign w:val="center"/>
            <w:shd w:fill="D9EAF7"/>
          </w:tcPr>
          <w:p>
            <w:pPr>
              <w:jc w:val="center"/>
            </w:pPr>
            <w:r>
              <w:rPr>
                <w:b/>
                <w:sz w:val="19"/>
                <w:lang w:val="fr-FR" w:eastAsia="fr-FR" w:bidi="fr-FR"/>
              </w:rPr>
              <w:t>A</w:t>
            </w:r>
          </w:p>
        </w:tc>
        <w:tc>
          <w:tcPr>
            <w:tcW w:type="dxa" w:w="510"/>
            <w:vAlign w:val="center"/>
            <w:shd w:fill="D9EAF7"/>
          </w:tcPr>
          <w:p>
            <w:pPr>
              <w:jc w:val="center"/>
            </w:pPr>
            <w:r>
              <w:rPr>
                <w:b/>
                <w:sz w:val="19"/>
                <w:lang w:val="fr-FR" w:eastAsia="fr-FR" w:bidi="fr-FR"/>
              </w:rPr>
              <w:t>TB</w:t>
            </w:r>
          </w:p>
        </w:tc>
        <w:tc>
          <w:tcPr>
            <w:tcW w:type="dxa" w:w="3855"/>
            <w:vAlign w:val="center"/>
            <w:shd w:fill="D9EAF7"/>
          </w:tcPr>
          <w:p>
            <w:pPr>
              <w:jc w:val="center"/>
            </w:pPr>
            <w:r>
              <w:rPr>
                <w:b/>
                <w:sz w:val="19"/>
                <w:lang w:val="fr-FR" w:eastAsia="fr-FR" w:bidi="fr-FR"/>
              </w:rPr>
              <w:t>Observations</w:t>
            </w:r>
          </w:p>
        </w:tc>
      </w:tr>
      <w:tr>
        <w:tc>
          <w:tcPr>
            <w:tcW w:type="dxa" w:w="3402"/>
            <w:vAlign w:val="center"/>
          </w:tcPr>
          <w:p>
            <w:pPr>
              <w:spacing w:after="0"/>
            </w:pPr>
            <w:r>
              <w:rPr>
                <w:lang w:val="fr-FR" w:eastAsia="fr-FR" w:bidi="fr-FR"/>
              </w:rPr>
              <w:t>Qualité et conformité du rapport/support</w:t>
            </w:r>
          </w:p>
        </w:tc>
        <w:tc>
          <w:tcPr>
            <w:tcW w:type="dxa" w:w="4762"/>
            <w:vAlign w:val="center"/>
          </w:tcPr>
          <w:p>
            <w:pPr>
              <w:spacing w:after="0"/>
            </w:pPr>
            <w:r>
              <w:rPr>
                <w:lang w:val="fr-FR" w:eastAsia="fr-FR" w:bidi="fr-FR"/>
              </w:rPr>
              <w:t>Support lisible, structuré, cohérent avec l'épreuve et directement exploitable pour l'évaluation.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explicitation du contexte entreprise et de la mission en traitements des materiaux</w:t>
            </w:r>
          </w:p>
        </w:tc>
        <w:tc>
          <w:tcPr>
            <w:tcW w:type="dxa" w:w="4762"/>
            <w:vAlign w:val="center"/>
          </w:tcPr>
          <w:p>
            <w:pPr>
              <w:spacing w:after="0"/>
            </w:pPr>
            <w:r>
              <w:rPr>
                <w:lang w:val="fr-FR" w:eastAsia="fr-FR" w:bidi="fr-FR"/>
              </w:rPr>
              <w:t>Le candidat situe précisément l'organisation, ses missions et le périmètre de son intervention.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maîtrise technique des activités réalisées</w:t>
            </w:r>
          </w:p>
        </w:tc>
        <w:tc>
          <w:tcPr>
            <w:tcW w:type="dxa" w:w="4762"/>
            <w:vAlign w:val="center"/>
          </w:tcPr>
          <w:p>
            <w:pPr>
              <w:spacing w:after="0"/>
            </w:pPr>
            <w:r>
              <w:rPr>
                <w:lang w:val="fr-FR" w:eastAsia="fr-FR" w:bidi="fr-FR"/>
              </w:rPr>
              <w:t>Les techniques, outils et méthodes mobilisés sont expliqués et justifiés avec exactitude.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analysé des choix, résultats et écarts</w:t>
            </w:r>
          </w:p>
        </w:tc>
        <w:tc>
          <w:tcPr>
            <w:tcW w:type="dxa" w:w="4762"/>
            <w:vAlign w:val="center"/>
          </w:tcPr>
          <w:p>
            <w:pPr>
              <w:spacing w:after="0"/>
            </w:pPr>
            <w:r>
              <w:rPr>
                <w:lang w:val="fr-FR" w:eastAsia="fr-FR" w:bidi="fr-FR"/>
              </w:rPr>
              <w:t>Les choix, contraintes, résultats et éventuels écarts sont analysés avec recul professionnel.</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prise en compte de la qualité, de la sécurité, des procedures et des contraintes de couts/delais</w:t>
            </w:r>
          </w:p>
        </w:tc>
        <w:tc>
          <w:tcPr>
            <w:tcW w:type="dxa" w:w="4762"/>
            <w:vAlign w:val="center"/>
          </w:tcPr>
          <w:p>
            <w:pPr>
              <w:spacing w:after="0"/>
            </w:pPr>
            <w:r>
              <w:rPr>
                <w:lang w:val="fr-FR" w:eastAsia="fr-FR" w:bidi="fr-FR"/>
              </w:rPr>
              <w:t>Les exigences de qualité, sécurité, réglementation et traçabilité sont prises en compte.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qualité de la soutenance et capacite de justification</w:t>
            </w:r>
          </w:p>
        </w:tc>
        <w:tc>
          <w:tcPr>
            <w:tcW w:type="dxa" w:w="4762"/>
            <w:vAlign w:val="center"/>
          </w:tcPr>
          <w:p>
            <w:pPr>
              <w:spacing w:after="0"/>
            </w:pPr>
            <w:r>
              <w:rPr>
                <w:lang w:val="fr-FR" w:eastAsia="fr-FR" w:bidi="fr-FR"/>
              </w:rPr>
              <w:t>Expression claire, structurée, argumentée et adaptée au questionnement du jury.</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prise de recul sur l'experience. Accent probable sur la maîtrise des procédés, l'analysé des paramêtres, la qualité obtenue, la sécurité et l'interpretation des écarts</w:t>
            </w:r>
          </w:p>
        </w:tc>
        <w:tc>
          <w:tcPr>
            <w:tcW w:type="dxa" w:w="4762"/>
            <w:vAlign w:val="center"/>
          </w:tcPr>
          <w:p>
            <w:pPr>
              <w:spacing w:after="0"/>
            </w:pPr>
            <w:r>
              <w:rPr>
                <w:lang w:val="fr-FR" w:eastAsia="fr-FR" w:bidi="fr-FR"/>
              </w:rPr>
              <w:t>Les choix, contraintes, résultats et éventuels écarts sont analysés avec recul professionnel.</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Capacité à répondre avec argumentation aux questions professionnelles (stage, économie, gestion)</w:t>
            </w:r>
          </w:p>
        </w:tc>
        <w:tc>
          <w:tcPr>
            <w:tcW w:type="dxa" w:w="4762"/>
            <w:vAlign w:val="center"/>
          </w:tcPr>
          <w:p>
            <w:pPr>
              <w:spacing w:after="0"/>
            </w:pPr>
            <w:r>
              <w:rPr>
                <w:lang w:val="fr-FR" w:eastAsia="fr-FR" w:bidi="fr-FR"/>
              </w:rPr>
              <w:t>Expression claire, structurée, argumentée et adaptée au questionnement du jury.</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rigueur de la démarche</w:t>
            </w:r>
          </w:p>
        </w:tc>
        <w:tc>
          <w:tcPr>
            <w:tcW w:type="dxa" w:w="4762"/>
            <w:vAlign w:val="center"/>
          </w:tcPr>
          <w:p>
            <w:pPr>
              <w:spacing w:after="0"/>
            </w:pPr>
            <w:r>
              <w:rPr>
                <w:lang w:val="fr-FR" w:eastAsia="fr-FR" w:bidi="fr-FR"/>
              </w:rPr>
              <w:t>Éléments observables explicitables dans le support écrit et confirmables lors de l'entretien.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valeur technique des solutions</w:t>
            </w:r>
          </w:p>
        </w:tc>
        <w:tc>
          <w:tcPr>
            <w:tcW w:type="dxa" w:w="4762"/>
            <w:vAlign w:val="center"/>
          </w:tcPr>
          <w:p>
            <w:pPr>
              <w:spacing w:after="0"/>
            </w:pPr>
            <w:r>
              <w:rPr>
                <w:lang w:val="fr-FR" w:eastAsia="fr-FR" w:bidi="fr-FR"/>
              </w:rPr>
              <w:t>Les techniques, outils et méthodes mobilisés sont expliqués et justifiés avec exactitude.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rigueur et qualité des travaux présentés</w:t>
            </w:r>
          </w:p>
        </w:tc>
        <w:tc>
          <w:tcPr>
            <w:tcW w:type="dxa" w:w="4762"/>
            <w:vAlign w:val="center"/>
          </w:tcPr>
          <w:p>
            <w:pPr>
              <w:spacing w:after="0"/>
            </w:pPr>
            <w:r>
              <w:rPr>
                <w:lang w:val="fr-FR" w:eastAsia="fr-FR" w:bidi="fr-FR"/>
              </w:rPr>
              <w:t>Éléments observables explicitables dans le support écrit et confirmables lors de l'entretien.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qualité de l'exposé oral et des réponses. Le rapport de stage est évalué lors d'une situation d'évaluation en CCF</w:t>
            </w:r>
          </w:p>
        </w:tc>
        <w:tc>
          <w:tcPr>
            <w:tcW w:type="dxa" w:w="4762"/>
            <w:vAlign w:val="center"/>
          </w:tcPr>
          <w:p>
            <w:pPr>
              <w:spacing w:after="0"/>
            </w:pPr>
            <w:r>
              <w:rPr>
                <w:lang w:val="fr-FR" w:eastAsia="fr-FR" w:bidi="fr-FR"/>
              </w:rPr>
              <w:t>Support lisible, structuré, cohérent avec l'épreuve et directement exploitable pour l'évaluation.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bl>
    <w:p/>
    <w:p>
      <w:r>
        <w:rPr>
          <w:b/>
          <w:lang w:val="fr-FR" w:eastAsia="fr-FR" w:bidi="fr-FR"/>
        </w:rPr>
        <w:t>Appréciation synthétique</w:t>
      </w:r>
    </w:p>
    <w:tbl>
      <w:tblPr>
        <w:tblStyle w:val="TableGrid"/>
        <w:tblW w:type="auto" w:w="0"/>
        <w:jc w:val="center"/>
        <w:tblLook w:firstColumn="1" w:firstRow="1" w:lastColumn="0" w:lastRow="0" w:noHBand="0" w:noVBand="1" w:val="04A0"/>
      </w:tblPr>
      <w:tblGrid>
        <w:gridCol w:w="7126"/>
        <w:gridCol w:w="7126"/>
      </w:tblGrid>
      <w:tr>
        <w:tc>
          <w:tcPr>
            <w:tcW w:type="dxa" w:w="3402"/>
            <w:shd w:fill="D9EAF7"/>
          </w:tcPr>
          <w:p>
            <w:r>
              <w:rPr>
                <w:b/>
                <w:lang w:val="fr-FR" w:eastAsia="fr-FR" w:bidi="fr-FR"/>
              </w:rPr>
              <w:t>Points forts observés</w:t>
            </w:r>
          </w:p>
        </w:tc>
        <w:tc>
          <w:tcPr>
            <w:tcW w:type="dxa" w:w="10658"/>
          </w:tcPr>
          <w:p>
            <w:r>
              <w:rPr>
                <w:lang w:val="fr-FR" w:eastAsia="fr-FR" w:bidi="fr-FR"/>
              </w:rPr>
            </w:r>
          </w:p>
        </w:tc>
      </w:tr>
      <w:tr>
        <w:tc>
          <w:tcPr>
            <w:tcW w:type="dxa" w:w="3402"/>
            <w:shd w:fill="D9EAF7"/>
          </w:tcPr>
          <w:p>
            <w:r>
              <w:rPr>
                <w:b/>
                <w:lang w:val="fr-FR" w:eastAsia="fr-FR" w:bidi="fr-FR"/>
              </w:rPr>
              <w:t>Axes de progression / vigilance</w:t>
            </w:r>
          </w:p>
        </w:tc>
        <w:tc>
          <w:tcPr>
            <w:tcW w:type="dxa" w:w="10658"/>
          </w:tcPr>
          <w:p>
            <w:r>
              <w:rPr>
                <w:lang w:val="fr-FR" w:eastAsia="fr-FR" w:bidi="fr-FR"/>
              </w:rPr>
            </w:r>
          </w:p>
        </w:tc>
      </w:tr>
      <w:tr>
        <w:tc>
          <w:tcPr>
            <w:tcW w:type="dxa" w:w="3402"/>
            <w:shd w:fill="D9EAF7"/>
          </w:tcPr>
          <w:p>
            <w:r>
              <w:rPr>
                <w:b/>
                <w:lang w:val="fr-FR" w:eastAsia="fr-FR" w:bidi="fr-FR"/>
              </w:rPr>
              <w:t>Décision / note / positionnement local</w:t>
            </w:r>
          </w:p>
        </w:tc>
        <w:tc>
          <w:tcPr>
            <w:tcW w:type="dxa" w:w="10658"/>
          </w:tcPr>
          <w:p>
            <w:r>
              <w:rPr>
                <w:lang w:val="fr-FR" w:eastAsia="fr-FR" w:bidi="fr-FR"/>
              </w:rPr>
            </w:r>
          </w:p>
        </w:tc>
      </w:tr>
    </w:tbl>
    <w:p/>
    <w:p>
      <w:r>
        <w:rPr>
          <w:b/>
          <w:lang w:val="fr-FR" w:eastAsia="fr-FR" w:bidi="fr-FR"/>
        </w:rPr>
        <w:t>Fondement et sources de reconstitution</w:t>
      </w:r>
    </w:p>
    <w:p>
      <w:r>
        <w:rPr>
          <w:lang w:val="fr-FR" w:eastAsia="fr-FR" w:bidi="fr-FR"/>
        </w:rPr>
        <w:t>Croisement entre le rapport de stage en milieu professionnel, le reglement d'examen et les competences de procede.</w:t>
      </w:r>
    </w:p>
    <w:p>
      <w:r>
        <w:rPr>
          <w:lang w:val="fr-FR" w:eastAsia="fr-FR" w:bidi="fr-FR"/>
        </w:rPr>
        <w:t>Le Bulletin Officiel de l'Éducation Nationale pour le BTS Traitements des Matériaux (Arrêté du 5 août 2001 modifié) détaille explicitement les critères d'évaluation pour l'épreuve U6.2 / E62 Rapport de stage en milieu professionnel. Ces critères incluent la capacité à argumenter, la rigueur de la démarche, la valeur technique, la qualité des travaux et de la communication orale. L'évaluation se fait en CCF sur la base d'une situation d'évaluation et du rapport de stage.</w:t>
      </w:r>
    </w:p>
    <w:p>
      <w:r>
        <w:rPr>
          <w:sz w:val="17"/>
          <w:lang w:val="fr-FR" w:eastAsia="fr-FR" w:bidi="fr-FR"/>
        </w:rPr>
        <w:t>Référentiel : https://www.education.gouv.fr/bo/2001/hs6/hs6.htm</w:t>
      </w:r>
    </w:p>
    <w:p>
      <w:r>
        <w:rPr>
          <w:sz w:val="17"/>
          <w:lang w:val="fr-FR" w:eastAsia="fr-FR" w:bidi="fr-FR"/>
        </w:rPr>
        <w:t>Source support : https://www.education.gouv.fr/bo/20/Hebdo38/ESRS2019793A.htm</w:t>
      </w:r>
    </w:p>
    <w:sectPr w:rsidR="00FC693F" w:rsidRPr="0006063C" w:rsidSect="00034616">
      <w:pgSz w:w="15840" w:h="12240" w:orient="landscape"/>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lang w:val="fr-FR" w:eastAsia="fr-FR" w:bidi="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