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pPr w:leftFromText="180" w:rightFromText="180" w:vertAnchor="page" w:horzAnchor="margin" w:tblpXSpec="center" w:tblpY="2057"/>
        <w:tblW w:w="10941" w:type="dxa"/>
        <w:tblLook w:val="04A0" w:firstRow="1" w:lastRow="0" w:firstColumn="1" w:lastColumn="0" w:noHBand="0" w:noVBand="1"/>
      </w:tblPr>
      <w:tblGrid>
        <w:gridCol w:w="1204"/>
        <w:gridCol w:w="1803"/>
        <w:gridCol w:w="2756"/>
        <w:gridCol w:w="2484"/>
        <w:gridCol w:w="2694"/>
      </w:tblGrid>
      <w:tr w:rsidR="006C0F6B" w:rsidRPr="006C0F6B" w14:paraId="60132540" w14:textId="77777777" w:rsidTr="00D65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231A7C5F" w14:textId="77777777" w:rsidR="006C0F6B" w:rsidRPr="006C0F6B" w:rsidRDefault="006C0F6B" w:rsidP="006C0F6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1803" w:type="dxa"/>
            <w:noWrap/>
            <w:hideMark/>
          </w:tcPr>
          <w:p w14:paraId="4A220A00" w14:textId="77777777" w:rsidR="006C0F6B" w:rsidRPr="006C0F6B" w:rsidRDefault="006C0F6B" w:rsidP="006C0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val="en-US" w:eastAsia="el-GR"/>
              </w:rPr>
              <w:t>Tissue weight fraction (% of BW)</w:t>
            </w:r>
          </w:p>
        </w:tc>
        <w:tc>
          <w:tcPr>
            <w:tcW w:w="2756" w:type="dxa"/>
            <w:noWrap/>
            <w:hideMark/>
          </w:tcPr>
          <w:p w14:paraId="16E67267" w14:textId="77777777" w:rsidR="006C0F6B" w:rsidRPr="006C0F6B" w:rsidRDefault="006C0F6B" w:rsidP="006C0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val="en-US" w:eastAsia="el-GR"/>
              </w:rPr>
              <w:t>Regional flow fractions (% of total cardiac output)</w:t>
            </w:r>
          </w:p>
        </w:tc>
        <w:tc>
          <w:tcPr>
            <w:tcW w:w="2484" w:type="dxa"/>
            <w:noWrap/>
            <w:hideMark/>
          </w:tcPr>
          <w:p w14:paraId="21BF8913" w14:textId="77777777" w:rsidR="006C0F6B" w:rsidRPr="006C0F6B" w:rsidRDefault="006C0F6B" w:rsidP="006C0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val="en-US" w:eastAsia="el-GR"/>
              </w:rPr>
              <w:t>Capillary fractions (fraction of tissue volume)</w:t>
            </w:r>
          </w:p>
        </w:tc>
        <w:tc>
          <w:tcPr>
            <w:tcW w:w="2694" w:type="dxa"/>
            <w:noWrap/>
            <w:hideMark/>
          </w:tcPr>
          <w:p w14:paraId="4BFA6575" w14:textId="31160388" w:rsidR="006C0F6B" w:rsidRPr="006C0F6B" w:rsidRDefault="006C0F6B" w:rsidP="006C0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val="en-US" w:eastAsia="el-GR"/>
              </w:rPr>
              <w:t xml:space="preserve">Macrophage fractions (fraction of tissue </w:t>
            </w:r>
            <w:proofErr w:type="gramStart"/>
            <w:r w:rsidRPr="006C0F6B">
              <w:rPr>
                <w:rFonts w:ascii="Calibri" w:eastAsia="Times New Roman" w:hAnsi="Calibri" w:cs="Calibri"/>
                <w:color w:val="000000"/>
                <w:lang w:val="en-US" w:eastAsia="el-GR"/>
              </w:rPr>
              <w:t>volume)</w:t>
            </w:r>
            <w:r w:rsidR="000F3A19" w:rsidRPr="000F3A19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(</w:t>
            </w:r>
            <w:proofErr w:type="gramEnd"/>
            <w:r w:rsidR="000F3A19" w:rsidRPr="000F3A19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4)</w:t>
            </w:r>
          </w:p>
        </w:tc>
      </w:tr>
      <w:tr w:rsidR="006C0F6B" w:rsidRPr="006C0F6B" w14:paraId="10C53AA6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5988E9BB" w14:textId="2BD90A0B" w:rsidR="006C0F6B" w:rsidRPr="006C0F6B" w:rsidRDefault="00D65262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 w:eastAsia="el-GR"/>
              </w:rPr>
              <w:t>Soft Tissue</w:t>
            </w:r>
          </w:p>
        </w:tc>
        <w:tc>
          <w:tcPr>
            <w:tcW w:w="1803" w:type="dxa"/>
            <w:noWrap/>
            <w:hideMark/>
          </w:tcPr>
          <w:p w14:paraId="747B90D5" w14:textId="1EB68D10" w:rsidR="006C0F6B" w:rsidRPr="006C0F6B" w:rsidRDefault="00D65262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84</w:t>
            </w:r>
          </w:p>
        </w:tc>
        <w:tc>
          <w:tcPr>
            <w:tcW w:w="2756" w:type="dxa"/>
            <w:noWrap/>
            <w:hideMark/>
          </w:tcPr>
          <w:p w14:paraId="43703CC8" w14:textId="5B4468BD" w:rsidR="006C0F6B" w:rsidRPr="006C0F6B" w:rsidRDefault="00D65262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47.7</w:t>
            </w:r>
          </w:p>
        </w:tc>
        <w:tc>
          <w:tcPr>
            <w:tcW w:w="2484" w:type="dxa"/>
            <w:noWrap/>
            <w:hideMark/>
          </w:tcPr>
          <w:p w14:paraId="43D892CE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0.04</w:t>
            </w:r>
          </w:p>
        </w:tc>
        <w:tc>
          <w:tcPr>
            <w:tcW w:w="2694" w:type="dxa"/>
            <w:noWrap/>
            <w:hideMark/>
          </w:tcPr>
          <w:p w14:paraId="6684D3FB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0.02</w:t>
            </w:r>
          </w:p>
        </w:tc>
      </w:tr>
      <w:tr w:rsidR="006C0F6B" w:rsidRPr="006C0F6B" w14:paraId="04D8E20A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7967AC72" w14:textId="77777777" w:rsidR="006C0F6B" w:rsidRPr="006C0F6B" w:rsidRDefault="006C0F6B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</w:pPr>
            <w:proofErr w:type="spellStart"/>
            <w:r w:rsidRPr="006C0F6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  <w:t>Heart</w:t>
            </w:r>
            <w:proofErr w:type="spellEnd"/>
          </w:p>
        </w:tc>
        <w:tc>
          <w:tcPr>
            <w:tcW w:w="1803" w:type="dxa"/>
            <w:noWrap/>
            <w:hideMark/>
          </w:tcPr>
          <w:p w14:paraId="194F8FD2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0.33</w:t>
            </w:r>
          </w:p>
        </w:tc>
        <w:tc>
          <w:tcPr>
            <w:tcW w:w="2756" w:type="dxa"/>
            <w:noWrap/>
            <w:hideMark/>
          </w:tcPr>
          <w:p w14:paraId="1C4D2F40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4.9</w:t>
            </w:r>
          </w:p>
        </w:tc>
        <w:tc>
          <w:tcPr>
            <w:tcW w:w="2484" w:type="dxa"/>
            <w:noWrap/>
            <w:hideMark/>
          </w:tcPr>
          <w:p w14:paraId="581A7A6C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0.26</w:t>
            </w:r>
          </w:p>
        </w:tc>
        <w:tc>
          <w:tcPr>
            <w:tcW w:w="2694" w:type="dxa"/>
            <w:noWrap/>
            <w:hideMark/>
          </w:tcPr>
          <w:p w14:paraId="0AD768B7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0.02</w:t>
            </w:r>
          </w:p>
        </w:tc>
      </w:tr>
      <w:tr w:rsidR="006C0F6B" w:rsidRPr="006C0F6B" w14:paraId="245A72F9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0F645DE5" w14:textId="77777777" w:rsidR="006C0F6B" w:rsidRPr="006C0F6B" w:rsidRDefault="006C0F6B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</w:pPr>
            <w:proofErr w:type="spellStart"/>
            <w:r w:rsidRPr="006C0F6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  <w:t>Kidneys</w:t>
            </w:r>
            <w:proofErr w:type="spellEnd"/>
          </w:p>
        </w:tc>
        <w:tc>
          <w:tcPr>
            <w:tcW w:w="1803" w:type="dxa"/>
            <w:noWrap/>
            <w:hideMark/>
          </w:tcPr>
          <w:p w14:paraId="1872DFE1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0.73</w:t>
            </w:r>
          </w:p>
        </w:tc>
        <w:tc>
          <w:tcPr>
            <w:tcW w:w="2756" w:type="dxa"/>
            <w:noWrap/>
            <w:hideMark/>
          </w:tcPr>
          <w:p w14:paraId="0A036B5F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14.1</w:t>
            </w:r>
          </w:p>
        </w:tc>
        <w:tc>
          <w:tcPr>
            <w:tcW w:w="2484" w:type="dxa"/>
            <w:noWrap/>
            <w:hideMark/>
          </w:tcPr>
          <w:p w14:paraId="403ACA91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0.16</w:t>
            </w:r>
          </w:p>
        </w:tc>
        <w:tc>
          <w:tcPr>
            <w:tcW w:w="2694" w:type="dxa"/>
            <w:noWrap/>
            <w:hideMark/>
          </w:tcPr>
          <w:p w14:paraId="2A79F937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0.02</w:t>
            </w:r>
          </w:p>
        </w:tc>
      </w:tr>
      <w:tr w:rsidR="006C0F6B" w:rsidRPr="006C0F6B" w14:paraId="6D387377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3CF97294" w14:textId="77777777" w:rsidR="006C0F6B" w:rsidRPr="006C0F6B" w:rsidRDefault="006C0F6B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</w:pPr>
            <w:proofErr w:type="spellStart"/>
            <w:r w:rsidRPr="006C0F6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  <w:t>Brain</w:t>
            </w:r>
            <w:proofErr w:type="spellEnd"/>
          </w:p>
        </w:tc>
        <w:tc>
          <w:tcPr>
            <w:tcW w:w="1803" w:type="dxa"/>
            <w:noWrap/>
            <w:hideMark/>
          </w:tcPr>
          <w:p w14:paraId="48AD737A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0.57</w:t>
            </w:r>
          </w:p>
        </w:tc>
        <w:tc>
          <w:tcPr>
            <w:tcW w:w="2756" w:type="dxa"/>
            <w:noWrap/>
            <w:hideMark/>
          </w:tcPr>
          <w:p w14:paraId="4133F5BF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2484" w:type="dxa"/>
            <w:noWrap/>
            <w:hideMark/>
          </w:tcPr>
          <w:p w14:paraId="016785D8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0.03</w:t>
            </w:r>
          </w:p>
        </w:tc>
        <w:tc>
          <w:tcPr>
            <w:tcW w:w="2694" w:type="dxa"/>
            <w:noWrap/>
            <w:hideMark/>
          </w:tcPr>
          <w:p w14:paraId="7B8660B1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0.04</w:t>
            </w:r>
          </w:p>
        </w:tc>
      </w:tr>
      <w:tr w:rsidR="006C0F6B" w:rsidRPr="006C0F6B" w14:paraId="77CDCC86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29B289B4" w14:textId="77777777" w:rsidR="006C0F6B" w:rsidRPr="006C0F6B" w:rsidRDefault="006C0F6B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</w:pPr>
            <w:proofErr w:type="spellStart"/>
            <w:r w:rsidRPr="006C0F6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  <w:t>Spleen</w:t>
            </w:r>
            <w:proofErr w:type="spellEnd"/>
          </w:p>
        </w:tc>
        <w:tc>
          <w:tcPr>
            <w:tcW w:w="1803" w:type="dxa"/>
            <w:noWrap/>
            <w:hideMark/>
          </w:tcPr>
          <w:p w14:paraId="41598067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0.2</w:t>
            </w:r>
          </w:p>
        </w:tc>
        <w:tc>
          <w:tcPr>
            <w:tcW w:w="2756" w:type="dxa"/>
            <w:noWrap/>
            <w:hideMark/>
          </w:tcPr>
          <w:p w14:paraId="219FCA3C" w14:textId="6F3D8ECF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1.22</w:t>
            </w:r>
            <w:r w:rsidR="000F3A19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(3)</w:t>
            </w:r>
          </w:p>
        </w:tc>
        <w:tc>
          <w:tcPr>
            <w:tcW w:w="2484" w:type="dxa"/>
            <w:noWrap/>
            <w:hideMark/>
          </w:tcPr>
          <w:p w14:paraId="0A1E18F9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0.22</w:t>
            </w:r>
          </w:p>
        </w:tc>
        <w:tc>
          <w:tcPr>
            <w:tcW w:w="2694" w:type="dxa"/>
            <w:noWrap/>
            <w:hideMark/>
          </w:tcPr>
          <w:p w14:paraId="3FB0AC46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0.3</w:t>
            </w:r>
          </w:p>
        </w:tc>
      </w:tr>
      <w:tr w:rsidR="006C0F6B" w:rsidRPr="006C0F6B" w14:paraId="14222C16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2D2C1B61" w14:textId="77777777" w:rsidR="006C0F6B" w:rsidRPr="006C0F6B" w:rsidRDefault="006C0F6B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</w:pPr>
            <w:proofErr w:type="spellStart"/>
            <w:r w:rsidRPr="006C0F6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  <w:t>Lungs</w:t>
            </w:r>
            <w:proofErr w:type="spellEnd"/>
          </w:p>
        </w:tc>
        <w:tc>
          <w:tcPr>
            <w:tcW w:w="1803" w:type="dxa"/>
            <w:noWrap/>
            <w:hideMark/>
          </w:tcPr>
          <w:p w14:paraId="102324E5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0.5</w:t>
            </w:r>
          </w:p>
        </w:tc>
        <w:tc>
          <w:tcPr>
            <w:tcW w:w="2756" w:type="dxa"/>
            <w:noWrap/>
            <w:hideMark/>
          </w:tcPr>
          <w:p w14:paraId="2F4B11B3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100</w:t>
            </w:r>
          </w:p>
        </w:tc>
        <w:tc>
          <w:tcPr>
            <w:tcW w:w="2484" w:type="dxa"/>
            <w:noWrap/>
            <w:hideMark/>
          </w:tcPr>
          <w:p w14:paraId="6DF2D5D1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0.36</w:t>
            </w:r>
          </w:p>
        </w:tc>
        <w:tc>
          <w:tcPr>
            <w:tcW w:w="2694" w:type="dxa"/>
            <w:noWrap/>
            <w:hideMark/>
          </w:tcPr>
          <w:p w14:paraId="1801B24E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0.04</w:t>
            </w:r>
          </w:p>
        </w:tc>
      </w:tr>
      <w:tr w:rsidR="006C0F6B" w:rsidRPr="006C0F6B" w14:paraId="7B7AF028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7E0201FC" w14:textId="77777777" w:rsidR="006C0F6B" w:rsidRPr="006C0F6B" w:rsidRDefault="006C0F6B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</w:pPr>
            <w:proofErr w:type="spellStart"/>
            <w:r w:rsidRPr="006C0F6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  <w:t>Liver</w:t>
            </w:r>
            <w:proofErr w:type="spellEnd"/>
          </w:p>
        </w:tc>
        <w:tc>
          <w:tcPr>
            <w:tcW w:w="1803" w:type="dxa"/>
            <w:noWrap/>
            <w:hideMark/>
          </w:tcPr>
          <w:p w14:paraId="2E131104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3.66</w:t>
            </w:r>
          </w:p>
        </w:tc>
        <w:tc>
          <w:tcPr>
            <w:tcW w:w="2756" w:type="dxa"/>
            <w:noWrap/>
            <w:hideMark/>
          </w:tcPr>
          <w:p w14:paraId="2C8092A8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17.4</w:t>
            </w:r>
          </w:p>
        </w:tc>
        <w:tc>
          <w:tcPr>
            <w:tcW w:w="2484" w:type="dxa"/>
            <w:noWrap/>
            <w:hideMark/>
          </w:tcPr>
          <w:p w14:paraId="5B870674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0.21</w:t>
            </w:r>
          </w:p>
        </w:tc>
        <w:tc>
          <w:tcPr>
            <w:tcW w:w="2694" w:type="dxa"/>
            <w:noWrap/>
            <w:hideMark/>
          </w:tcPr>
          <w:p w14:paraId="660F7EA8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0.1</w:t>
            </w:r>
          </w:p>
        </w:tc>
      </w:tr>
      <w:tr w:rsidR="006C0F6B" w:rsidRPr="006C0F6B" w14:paraId="1EEF9A4B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365C3BC6" w14:textId="77777777" w:rsidR="006C0F6B" w:rsidRPr="006C0F6B" w:rsidRDefault="006C0F6B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</w:pPr>
            <w:proofErr w:type="spellStart"/>
            <w:r w:rsidRPr="006C0F6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  <w:t>Uterus</w:t>
            </w:r>
            <w:proofErr w:type="spellEnd"/>
          </w:p>
        </w:tc>
        <w:tc>
          <w:tcPr>
            <w:tcW w:w="1803" w:type="dxa"/>
            <w:noWrap/>
            <w:hideMark/>
          </w:tcPr>
          <w:p w14:paraId="0B6DDD8B" w14:textId="414A24B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0.011</w:t>
            </w:r>
            <w:r w:rsidR="00D65262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(1)</w:t>
            </w:r>
          </w:p>
        </w:tc>
        <w:tc>
          <w:tcPr>
            <w:tcW w:w="2756" w:type="dxa"/>
            <w:noWrap/>
            <w:hideMark/>
          </w:tcPr>
          <w:p w14:paraId="10D8E355" w14:textId="6456990E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1.11</w:t>
            </w:r>
            <w:r w:rsidR="000F3A19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(4)</w:t>
            </w:r>
          </w:p>
        </w:tc>
        <w:tc>
          <w:tcPr>
            <w:tcW w:w="2484" w:type="dxa"/>
            <w:noWrap/>
            <w:hideMark/>
          </w:tcPr>
          <w:p w14:paraId="6B95F271" w14:textId="0DFA9BF9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0.077</w:t>
            </w:r>
            <w:r w:rsidR="000F3A19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(4)</w:t>
            </w:r>
          </w:p>
        </w:tc>
        <w:tc>
          <w:tcPr>
            <w:tcW w:w="2694" w:type="dxa"/>
            <w:noWrap/>
            <w:hideMark/>
          </w:tcPr>
          <w:p w14:paraId="7282CC96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0.02</w:t>
            </w:r>
          </w:p>
        </w:tc>
      </w:tr>
      <w:tr w:rsidR="006C0F6B" w:rsidRPr="006C0F6B" w14:paraId="5A6DA9F3" w14:textId="77777777" w:rsidTr="00D65262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  <w:noWrap/>
            <w:hideMark/>
          </w:tcPr>
          <w:p w14:paraId="68FEF633" w14:textId="77777777" w:rsidR="006C0F6B" w:rsidRPr="006C0F6B" w:rsidRDefault="006C0F6B" w:rsidP="006C0F6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</w:pPr>
            <w:proofErr w:type="spellStart"/>
            <w:r w:rsidRPr="006C0F6B">
              <w:rPr>
                <w:rFonts w:ascii="Calibri" w:eastAsia="Times New Roman" w:hAnsi="Calibri" w:cs="Calibri"/>
                <w:b w:val="0"/>
                <w:bCs w:val="0"/>
                <w:color w:val="000000"/>
                <w:lang w:eastAsia="el-GR"/>
              </w:rPr>
              <w:t>Skeleton</w:t>
            </w:r>
            <w:proofErr w:type="spellEnd"/>
          </w:p>
        </w:tc>
        <w:tc>
          <w:tcPr>
            <w:tcW w:w="1803" w:type="dxa"/>
            <w:noWrap/>
            <w:hideMark/>
          </w:tcPr>
          <w:p w14:paraId="18380342" w14:textId="3E4983C6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  <w:r w:rsidR="000F3A19">
              <w:rPr>
                <w:rFonts w:ascii="Calibri" w:eastAsia="Times New Roman" w:hAnsi="Calibri" w:cs="Calibri"/>
                <w:color w:val="000000"/>
                <w:vertAlign w:val="superscript"/>
                <w:lang w:val="en-US" w:eastAsia="el-GR"/>
              </w:rPr>
              <w:t>(2)</w:t>
            </w:r>
          </w:p>
        </w:tc>
        <w:tc>
          <w:tcPr>
            <w:tcW w:w="2756" w:type="dxa"/>
            <w:noWrap/>
            <w:hideMark/>
          </w:tcPr>
          <w:p w14:paraId="37E1B0B3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12.2</w:t>
            </w:r>
          </w:p>
        </w:tc>
        <w:tc>
          <w:tcPr>
            <w:tcW w:w="2484" w:type="dxa"/>
            <w:noWrap/>
            <w:hideMark/>
          </w:tcPr>
          <w:p w14:paraId="6844A5EE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0.04</w:t>
            </w:r>
          </w:p>
        </w:tc>
        <w:tc>
          <w:tcPr>
            <w:tcW w:w="2694" w:type="dxa"/>
            <w:noWrap/>
            <w:hideMark/>
          </w:tcPr>
          <w:p w14:paraId="2C9E92AC" w14:textId="77777777" w:rsidR="006C0F6B" w:rsidRPr="006C0F6B" w:rsidRDefault="006C0F6B" w:rsidP="006C0F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6C0F6B">
              <w:rPr>
                <w:rFonts w:ascii="Calibri" w:eastAsia="Times New Roman" w:hAnsi="Calibri" w:cs="Calibri"/>
                <w:color w:val="000000"/>
                <w:lang w:eastAsia="el-GR"/>
              </w:rPr>
              <w:t>0.04</w:t>
            </w:r>
          </w:p>
        </w:tc>
      </w:tr>
    </w:tbl>
    <w:p w14:paraId="4FC5DBD7" w14:textId="3EB84F5A" w:rsidR="00FF0CD8" w:rsidRDefault="00FF0CD8"/>
    <w:p w14:paraId="3FC90916" w14:textId="58AE920F" w:rsidR="006C0F6B" w:rsidRDefault="006C0F6B">
      <w:pPr>
        <w:rPr>
          <w:lang w:val="en-US"/>
        </w:rPr>
      </w:pPr>
    </w:p>
    <w:p w14:paraId="3C262A55" w14:textId="36B203D2" w:rsidR="006C0F6B" w:rsidRDefault="006C0F6B" w:rsidP="00C919F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65262">
        <w:rPr>
          <w:lang w:val="en-US"/>
        </w:rPr>
        <w:t xml:space="preserve">All values were provided by Brown </w:t>
      </w:r>
      <w:r w:rsidRPr="00D65262">
        <w:rPr>
          <w:i/>
          <w:iCs/>
          <w:lang w:val="en-US"/>
        </w:rPr>
        <w:t>et al</w:t>
      </w:r>
      <w:r w:rsidR="00D65262" w:rsidRPr="00D65262">
        <w:rPr>
          <w:i/>
          <w:iCs/>
          <w:lang w:val="en-US"/>
        </w:rPr>
        <w:t>.</w:t>
      </w:r>
      <w:r w:rsidR="000F3A19">
        <w:rPr>
          <w:i/>
          <w:iCs/>
          <w:lang w:val="en-US"/>
        </w:rPr>
        <w:t xml:space="preserve">, </w:t>
      </w:r>
      <w:r w:rsidR="00D65262" w:rsidRPr="00D65262">
        <w:rPr>
          <w:lang w:val="en-US"/>
        </w:rPr>
        <w:t>1997</w:t>
      </w:r>
      <w:r w:rsidR="00676084">
        <w:rPr>
          <w:lang w:val="en-US"/>
        </w:rPr>
        <w:t>, except the following.</w:t>
      </w:r>
    </w:p>
    <w:p w14:paraId="02213E1F" w14:textId="6FC19763" w:rsidR="00D65262" w:rsidRDefault="00D65262" w:rsidP="00C919F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vertAlign w:val="superscript"/>
          <w:lang w:val="en-US"/>
        </w:rPr>
        <w:t>(1)</w:t>
      </w:r>
      <w:r>
        <w:rPr>
          <w:lang w:val="en-US"/>
        </w:rPr>
        <w:t xml:space="preserve"> The value for the </w:t>
      </w:r>
      <w:r w:rsidR="000F3A19">
        <w:rPr>
          <w:lang w:val="en-US"/>
        </w:rPr>
        <w:t>mass coefficient for the uterus was provided by PK-Sim software.</w:t>
      </w:r>
    </w:p>
    <w:p w14:paraId="28FF99B6" w14:textId="67BCAF67" w:rsidR="000F3A19" w:rsidRDefault="000F3A19" w:rsidP="00C919F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vertAlign w:val="superscript"/>
          <w:lang w:val="en-US"/>
        </w:rPr>
        <w:t>(2)</w:t>
      </w:r>
      <w:r>
        <w:rPr>
          <w:lang w:val="en-US"/>
        </w:rPr>
        <w:t xml:space="preserve"> This value was taken from </w:t>
      </w:r>
      <w:proofErr w:type="spellStart"/>
      <w:r>
        <w:rPr>
          <w:lang w:val="en-US"/>
        </w:rPr>
        <w:t>Kreyling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et al.</w:t>
      </w:r>
      <w:r>
        <w:rPr>
          <w:lang w:val="en-US"/>
        </w:rPr>
        <w:t>, 2017.</w:t>
      </w:r>
    </w:p>
    <w:p w14:paraId="6ED07490" w14:textId="7E066289" w:rsidR="000F3A19" w:rsidRDefault="000F3A19" w:rsidP="00C919F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vertAlign w:val="superscript"/>
          <w:lang w:val="en-US"/>
        </w:rPr>
        <w:t>(3)</w:t>
      </w:r>
      <w:r>
        <w:rPr>
          <w:lang w:val="en-US"/>
        </w:rPr>
        <w:t xml:space="preserve"> This value was taken from </w:t>
      </w:r>
      <w:r w:rsidRPr="000F3A19">
        <w:rPr>
          <w:lang w:val="en-US"/>
        </w:rPr>
        <w:t xml:space="preserve">Malik, </w:t>
      </w:r>
      <w:proofErr w:type="gramStart"/>
      <w:r w:rsidRPr="000F3A19">
        <w:rPr>
          <w:lang w:val="en-US"/>
        </w:rPr>
        <w:t>Kaplan</w:t>
      </w:r>
      <w:proofErr w:type="gramEnd"/>
      <w:r w:rsidRPr="000F3A19">
        <w:rPr>
          <w:lang w:val="en-US"/>
        </w:rPr>
        <w:t xml:space="preserve"> and Saba, 1976</w:t>
      </w:r>
      <w:r>
        <w:rPr>
          <w:lang w:val="en-US"/>
        </w:rPr>
        <w:t>.</w:t>
      </w:r>
    </w:p>
    <w:p w14:paraId="55FF1156" w14:textId="6E3A6F57" w:rsidR="000F3A19" w:rsidRPr="00D65262" w:rsidRDefault="000F3A19" w:rsidP="00C919F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vertAlign w:val="superscript"/>
          <w:lang w:val="en-US"/>
        </w:rPr>
        <w:t>(4)</w:t>
      </w:r>
      <w:r>
        <w:rPr>
          <w:lang w:val="en-US"/>
        </w:rPr>
        <w:t xml:space="preserve"> The values for the blood flow coefficient, the volume coefficient for the uterus and </w:t>
      </w:r>
      <w:r w:rsidR="00C919FB">
        <w:rPr>
          <w:lang w:val="en-US"/>
        </w:rPr>
        <w:t>values of the fractions for the calculation of macrophage volumes of all compartments</w:t>
      </w:r>
      <w:r>
        <w:rPr>
          <w:lang w:val="en-US"/>
        </w:rPr>
        <w:t xml:space="preserve"> were</w:t>
      </w:r>
      <w:r w:rsidR="00C919FB">
        <w:rPr>
          <w:lang w:val="en-US"/>
        </w:rPr>
        <w:t xml:space="preserve"> provided by </w:t>
      </w:r>
      <w:proofErr w:type="spellStart"/>
      <w:r w:rsidR="00C919FB">
        <w:rPr>
          <w:lang w:val="en-US"/>
        </w:rPr>
        <w:t>Aborig</w:t>
      </w:r>
      <w:proofErr w:type="spellEnd"/>
      <w:r w:rsidR="00C919FB">
        <w:rPr>
          <w:lang w:val="en-US"/>
        </w:rPr>
        <w:t xml:space="preserve"> </w:t>
      </w:r>
      <w:r w:rsidR="00C919FB" w:rsidRPr="00C919FB">
        <w:rPr>
          <w:i/>
          <w:iCs/>
          <w:lang w:val="en-US"/>
        </w:rPr>
        <w:t>et al.,</w:t>
      </w:r>
      <w:r w:rsidR="00C919FB">
        <w:rPr>
          <w:lang w:val="en-US"/>
        </w:rPr>
        <w:t xml:space="preserve"> 2019.</w:t>
      </w:r>
      <w:r>
        <w:rPr>
          <w:lang w:val="en-US"/>
        </w:rPr>
        <w:t xml:space="preserve"> </w:t>
      </w:r>
    </w:p>
    <w:p w14:paraId="1ADC959C" w14:textId="1B644A34" w:rsidR="00D65262" w:rsidRDefault="00D65262" w:rsidP="00C919FB">
      <w:pPr>
        <w:jc w:val="both"/>
        <w:rPr>
          <w:i/>
          <w:iCs/>
          <w:lang w:val="en-US"/>
        </w:rPr>
      </w:pPr>
    </w:p>
    <w:p w14:paraId="0DC5ED6D" w14:textId="1FCCD7C2" w:rsidR="00C919FB" w:rsidRDefault="00D65262" w:rsidP="00C919FB">
      <w:pPr>
        <w:jc w:val="both"/>
        <w:rPr>
          <w:lang w:val="en-US"/>
        </w:rPr>
      </w:pPr>
      <w:r w:rsidRPr="00D65262">
        <w:rPr>
          <w:lang w:val="en-US"/>
        </w:rPr>
        <w:t xml:space="preserve">Brown, R.P., </w:t>
      </w:r>
      <w:proofErr w:type="spellStart"/>
      <w:r w:rsidRPr="00D65262">
        <w:rPr>
          <w:lang w:val="en-US"/>
        </w:rPr>
        <w:t>Delp</w:t>
      </w:r>
      <w:proofErr w:type="spellEnd"/>
      <w:r w:rsidRPr="00D65262">
        <w:rPr>
          <w:lang w:val="en-US"/>
        </w:rPr>
        <w:t xml:space="preserve">, M.D., </w:t>
      </w:r>
      <w:proofErr w:type="spellStart"/>
      <w:r w:rsidRPr="00D65262">
        <w:rPr>
          <w:lang w:val="en-US"/>
        </w:rPr>
        <w:t>Lindstedt</w:t>
      </w:r>
      <w:proofErr w:type="spellEnd"/>
      <w:r w:rsidRPr="00D65262">
        <w:rPr>
          <w:lang w:val="en-US"/>
        </w:rPr>
        <w:t xml:space="preserve">, S.L., </w:t>
      </w:r>
      <w:proofErr w:type="spellStart"/>
      <w:r w:rsidRPr="00D65262">
        <w:rPr>
          <w:lang w:val="en-US"/>
        </w:rPr>
        <w:t>Rhomberg</w:t>
      </w:r>
      <w:proofErr w:type="spellEnd"/>
      <w:r w:rsidRPr="00D65262">
        <w:rPr>
          <w:lang w:val="en-US"/>
        </w:rPr>
        <w:t xml:space="preserve">, L.R. and </w:t>
      </w:r>
      <w:proofErr w:type="spellStart"/>
      <w:r w:rsidRPr="00D65262">
        <w:rPr>
          <w:lang w:val="en-US"/>
        </w:rPr>
        <w:t>Beliles</w:t>
      </w:r>
      <w:proofErr w:type="spellEnd"/>
      <w:r w:rsidRPr="00D65262">
        <w:rPr>
          <w:lang w:val="en-US"/>
        </w:rPr>
        <w:t>, R.P. (1997). Physiological Parameter Values for Physiologically Based Pharmacokinetic Models. Toxicology</w:t>
      </w:r>
      <w:r w:rsidR="00C919FB">
        <w:rPr>
          <w:lang w:val="en-US"/>
        </w:rPr>
        <w:t xml:space="preserve"> </w:t>
      </w:r>
      <w:r w:rsidRPr="00D65262">
        <w:rPr>
          <w:lang w:val="en-US"/>
        </w:rPr>
        <w:t>and Industrial Health, 13(4), pp.407–484.</w:t>
      </w:r>
    </w:p>
    <w:p w14:paraId="5A86CB18" w14:textId="7C45E0C5" w:rsidR="00C919FB" w:rsidRDefault="00C919FB" w:rsidP="00C919FB">
      <w:pPr>
        <w:jc w:val="both"/>
        <w:rPr>
          <w:lang w:val="en-US"/>
        </w:rPr>
      </w:pPr>
      <w:r w:rsidRPr="00C919FB">
        <w:rPr>
          <w:lang w:val="en-US"/>
        </w:rPr>
        <w:t xml:space="preserve">www.systems-biology.com. (n.d.). Computational Biology: PK-Sim R⃝ and </w:t>
      </w:r>
      <w:proofErr w:type="spellStart"/>
      <w:r w:rsidRPr="00C919FB">
        <w:rPr>
          <w:lang w:val="en-US"/>
        </w:rPr>
        <w:t>MoBi</w:t>
      </w:r>
      <w:proofErr w:type="spellEnd"/>
      <w:r w:rsidRPr="00C919FB">
        <w:rPr>
          <w:lang w:val="en-US"/>
        </w:rPr>
        <w:t xml:space="preserve"> R⃝. [online]</w:t>
      </w:r>
      <w:r>
        <w:rPr>
          <w:lang w:val="en-US"/>
        </w:rPr>
        <w:t xml:space="preserve"> </w:t>
      </w:r>
      <w:r w:rsidRPr="00C919FB">
        <w:rPr>
          <w:lang w:val="en-US"/>
        </w:rPr>
        <w:t xml:space="preserve">Available at: http://www.systems-biology.com/products/pk-sim/ </w:t>
      </w:r>
    </w:p>
    <w:p w14:paraId="36F641CF" w14:textId="24D78CEB" w:rsidR="00C919FB" w:rsidRDefault="00C919FB" w:rsidP="00C919FB">
      <w:pPr>
        <w:jc w:val="both"/>
        <w:rPr>
          <w:lang w:val="en-US"/>
        </w:rPr>
      </w:pPr>
      <w:proofErr w:type="spellStart"/>
      <w:r w:rsidRPr="00C919FB">
        <w:rPr>
          <w:lang w:val="en-US"/>
        </w:rPr>
        <w:t>Kreyling</w:t>
      </w:r>
      <w:proofErr w:type="spellEnd"/>
      <w:r w:rsidRPr="00C919FB">
        <w:rPr>
          <w:lang w:val="en-US"/>
        </w:rPr>
        <w:t xml:space="preserve">, W.G., </w:t>
      </w:r>
      <w:proofErr w:type="spellStart"/>
      <w:r w:rsidRPr="00C919FB">
        <w:rPr>
          <w:lang w:val="en-US"/>
        </w:rPr>
        <w:t>Holzwarth</w:t>
      </w:r>
      <w:proofErr w:type="spellEnd"/>
      <w:r w:rsidRPr="00C919FB">
        <w:rPr>
          <w:lang w:val="en-US"/>
        </w:rPr>
        <w:t xml:space="preserve">, U., Haberl, N., </w:t>
      </w:r>
      <w:proofErr w:type="spellStart"/>
      <w:r w:rsidRPr="00C919FB">
        <w:rPr>
          <w:lang w:val="en-US"/>
        </w:rPr>
        <w:t>Kozempel</w:t>
      </w:r>
      <w:proofErr w:type="spellEnd"/>
      <w:r w:rsidRPr="00C919FB">
        <w:rPr>
          <w:lang w:val="en-US"/>
        </w:rPr>
        <w:t xml:space="preserve">, J., </w:t>
      </w:r>
      <w:proofErr w:type="spellStart"/>
      <w:r w:rsidRPr="00C919FB">
        <w:rPr>
          <w:lang w:val="en-US"/>
        </w:rPr>
        <w:t>Hirn</w:t>
      </w:r>
      <w:proofErr w:type="spellEnd"/>
      <w:r w:rsidRPr="00C919FB">
        <w:rPr>
          <w:lang w:val="en-US"/>
        </w:rPr>
        <w:t xml:space="preserve">, S., </w:t>
      </w:r>
      <w:proofErr w:type="spellStart"/>
      <w:r w:rsidRPr="00C919FB">
        <w:rPr>
          <w:lang w:val="en-US"/>
        </w:rPr>
        <w:t>Wenk</w:t>
      </w:r>
      <w:proofErr w:type="spellEnd"/>
      <w:r w:rsidRPr="00C919FB">
        <w:rPr>
          <w:lang w:val="en-US"/>
        </w:rPr>
        <w:t xml:space="preserve">, A., </w:t>
      </w:r>
      <w:proofErr w:type="spellStart"/>
      <w:r w:rsidRPr="00C919FB">
        <w:rPr>
          <w:lang w:val="en-US"/>
        </w:rPr>
        <w:t>Schleh</w:t>
      </w:r>
      <w:proofErr w:type="spellEnd"/>
      <w:r w:rsidRPr="00C919FB">
        <w:rPr>
          <w:lang w:val="en-US"/>
        </w:rPr>
        <w:t>,</w:t>
      </w:r>
      <w:r>
        <w:rPr>
          <w:lang w:val="en-US"/>
        </w:rPr>
        <w:t xml:space="preserve"> </w:t>
      </w:r>
      <w:r w:rsidRPr="00C919FB">
        <w:rPr>
          <w:lang w:val="en-US"/>
        </w:rPr>
        <w:t xml:space="preserve">C., </w:t>
      </w:r>
      <w:proofErr w:type="spellStart"/>
      <w:r w:rsidRPr="00C919FB">
        <w:rPr>
          <w:lang w:val="en-US"/>
        </w:rPr>
        <w:t>Schäffler</w:t>
      </w:r>
      <w:proofErr w:type="spellEnd"/>
      <w:r w:rsidRPr="00C919FB">
        <w:rPr>
          <w:lang w:val="en-US"/>
        </w:rPr>
        <w:t xml:space="preserve">, M., </w:t>
      </w:r>
      <w:proofErr w:type="spellStart"/>
      <w:r w:rsidRPr="00C919FB">
        <w:rPr>
          <w:lang w:val="en-US"/>
        </w:rPr>
        <w:t>Lipka</w:t>
      </w:r>
      <w:proofErr w:type="spellEnd"/>
      <w:r w:rsidRPr="00C919FB">
        <w:rPr>
          <w:lang w:val="en-US"/>
        </w:rPr>
        <w:t xml:space="preserve">, J., </w:t>
      </w:r>
      <w:proofErr w:type="spellStart"/>
      <w:r w:rsidRPr="00C919FB">
        <w:rPr>
          <w:lang w:val="en-US"/>
        </w:rPr>
        <w:t>Semmler</w:t>
      </w:r>
      <w:proofErr w:type="spellEnd"/>
      <w:r w:rsidRPr="00C919FB">
        <w:rPr>
          <w:lang w:val="en-US"/>
        </w:rPr>
        <w:t>-Behnke, M. and Gibson, N. (2017). Quantitative</w:t>
      </w:r>
      <w:r>
        <w:rPr>
          <w:lang w:val="en-US"/>
        </w:rPr>
        <w:t xml:space="preserve"> </w:t>
      </w:r>
      <w:r w:rsidRPr="00C919FB">
        <w:rPr>
          <w:lang w:val="en-US"/>
        </w:rPr>
        <w:t>biokinetics of titanium dioxide nanoparticles after intravenous injection in rats: Part 1.</w:t>
      </w:r>
      <w:r>
        <w:rPr>
          <w:lang w:val="en-US"/>
        </w:rPr>
        <w:t xml:space="preserve"> </w:t>
      </w:r>
      <w:r w:rsidRPr="00C919FB">
        <w:rPr>
          <w:lang w:val="en-US"/>
        </w:rPr>
        <w:t>Nanotoxicology, 11(4), pp.434–442.</w:t>
      </w:r>
    </w:p>
    <w:p w14:paraId="435607EE" w14:textId="67D300EE" w:rsidR="00C919FB" w:rsidRDefault="00C919FB" w:rsidP="00C919FB">
      <w:pPr>
        <w:jc w:val="both"/>
        <w:rPr>
          <w:lang w:val="en-US"/>
        </w:rPr>
      </w:pPr>
      <w:r w:rsidRPr="00C919FB">
        <w:rPr>
          <w:lang w:val="en-US"/>
        </w:rPr>
        <w:t>Malik, A.B., Kaplan, J.E. and Saba, T.M. (1976). Reference sample method for cardia</w:t>
      </w:r>
      <w:r>
        <w:rPr>
          <w:lang w:val="en-US"/>
        </w:rPr>
        <w:t xml:space="preserve"> </w:t>
      </w:r>
      <w:r w:rsidRPr="00C919FB">
        <w:rPr>
          <w:lang w:val="en-US"/>
        </w:rPr>
        <w:t>output and regional blood flow determinations in the rat. Journal of Applied Physiology,</w:t>
      </w:r>
      <w:r>
        <w:rPr>
          <w:lang w:val="en-US"/>
        </w:rPr>
        <w:t xml:space="preserve"> </w:t>
      </w:r>
      <w:r w:rsidRPr="00C919FB">
        <w:rPr>
          <w:lang w:val="en-US"/>
        </w:rPr>
        <w:t>40(3), pp.472–475.</w:t>
      </w:r>
    </w:p>
    <w:p w14:paraId="2974F56D" w14:textId="3C4020F7" w:rsidR="00FC34B5" w:rsidRDefault="00C919FB" w:rsidP="00C919FB">
      <w:pPr>
        <w:jc w:val="both"/>
        <w:rPr>
          <w:lang w:val="en-US"/>
        </w:rPr>
      </w:pPr>
      <w:proofErr w:type="spellStart"/>
      <w:r w:rsidRPr="00C919FB">
        <w:rPr>
          <w:lang w:val="en-US"/>
        </w:rPr>
        <w:t>Aborig</w:t>
      </w:r>
      <w:proofErr w:type="spellEnd"/>
      <w:r w:rsidRPr="00C919FB">
        <w:rPr>
          <w:lang w:val="en-US"/>
        </w:rPr>
        <w:t xml:space="preserve">, M., Malik, P., Nambiar, S., </w:t>
      </w:r>
      <w:proofErr w:type="spellStart"/>
      <w:r w:rsidRPr="00C919FB">
        <w:rPr>
          <w:lang w:val="en-US"/>
        </w:rPr>
        <w:t>Chelle</w:t>
      </w:r>
      <w:proofErr w:type="spellEnd"/>
      <w:r w:rsidRPr="00C919FB">
        <w:rPr>
          <w:lang w:val="en-US"/>
        </w:rPr>
        <w:t xml:space="preserve">, P., Darko, J., </w:t>
      </w:r>
      <w:proofErr w:type="spellStart"/>
      <w:r w:rsidRPr="00C919FB">
        <w:rPr>
          <w:lang w:val="en-US"/>
        </w:rPr>
        <w:t>Mutsaers</w:t>
      </w:r>
      <w:proofErr w:type="spellEnd"/>
      <w:r w:rsidRPr="00C919FB">
        <w:rPr>
          <w:lang w:val="en-US"/>
        </w:rPr>
        <w:t xml:space="preserve">, A., </w:t>
      </w:r>
      <w:proofErr w:type="spellStart"/>
      <w:r w:rsidRPr="00C919FB">
        <w:rPr>
          <w:lang w:val="en-US"/>
        </w:rPr>
        <w:t>Edginton</w:t>
      </w:r>
      <w:proofErr w:type="spellEnd"/>
      <w:r w:rsidRPr="00C919FB">
        <w:rPr>
          <w:lang w:val="en-US"/>
        </w:rPr>
        <w:t>, A.,</w:t>
      </w:r>
      <w:r>
        <w:rPr>
          <w:lang w:val="en-US"/>
        </w:rPr>
        <w:t xml:space="preserve"> </w:t>
      </w:r>
      <w:r w:rsidRPr="00C919FB">
        <w:rPr>
          <w:lang w:val="en-US"/>
        </w:rPr>
        <w:t xml:space="preserve">Fleck, A., Osei, E. and </w:t>
      </w:r>
      <w:proofErr w:type="spellStart"/>
      <w:r w:rsidRPr="00C919FB">
        <w:rPr>
          <w:lang w:val="en-US"/>
        </w:rPr>
        <w:t>Wettig</w:t>
      </w:r>
      <w:proofErr w:type="spellEnd"/>
      <w:r w:rsidRPr="00C919FB">
        <w:rPr>
          <w:lang w:val="en-US"/>
        </w:rPr>
        <w:t xml:space="preserve">, S., 2019. Biodistribution and </w:t>
      </w:r>
      <w:proofErr w:type="gramStart"/>
      <w:r w:rsidRPr="00C919FB">
        <w:rPr>
          <w:lang w:val="en-US"/>
        </w:rPr>
        <w:t>Physiologically-Based</w:t>
      </w:r>
      <w:proofErr w:type="gramEnd"/>
      <w:r w:rsidRPr="00C919FB">
        <w:rPr>
          <w:lang w:val="en-US"/>
        </w:rPr>
        <w:t xml:space="preserve"> Pharmacokinetic Modeling of Gold Nanoparticles in Mice with Interspecies Extrapolation. Pharmaceutics, 11(4), p.179.</w:t>
      </w:r>
    </w:p>
    <w:p w14:paraId="033D837E" w14:textId="77777777" w:rsidR="00FC34B5" w:rsidRDefault="00FC34B5">
      <w:pPr>
        <w:rPr>
          <w:lang w:val="en-US"/>
        </w:rPr>
      </w:pPr>
      <w:r>
        <w:rPr>
          <w:lang w:val="en-US"/>
        </w:rPr>
        <w:br w:type="page"/>
      </w:r>
    </w:p>
    <w:p w14:paraId="4066A120" w14:textId="74EF0C60" w:rsidR="00C919FB" w:rsidRPr="004F25DC" w:rsidRDefault="00FC34B5" w:rsidP="00C919FB">
      <w:pPr>
        <w:jc w:val="both"/>
        <w:rPr>
          <w:sz w:val="32"/>
          <w:szCs w:val="32"/>
          <w:lang w:val="en-US"/>
        </w:rPr>
      </w:pPr>
      <w:r w:rsidRPr="004F25DC">
        <w:rPr>
          <w:sz w:val="32"/>
          <w:szCs w:val="32"/>
          <w:lang w:val="en-US"/>
        </w:rPr>
        <w:lastRenderedPageBreak/>
        <w:t>Densities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C34B5" w14:paraId="65E21F7F" w14:textId="77777777" w:rsidTr="00FC34B5">
        <w:tc>
          <w:tcPr>
            <w:tcW w:w="4148" w:type="dxa"/>
          </w:tcPr>
          <w:p w14:paraId="75B98AFC" w14:textId="2AEEF414" w:rsidR="00FC34B5" w:rsidRDefault="00FC34B5" w:rsidP="00C919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Density</w:t>
            </w:r>
          </w:p>
        </w:tc>
        <w:tc>
          <w:tcPr>
            <w:tcW w:w="4148" w:type="dxa"/>
          </w:tcPr>
          <w:p w14:paraId="6A15EAEB" w14:textId="6207E258" w:rsidR="00FC34B5" w:rsidRDefault="00FC34B5" w:rsidP="00C919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Values (g/ml)</w:t>
            </w:r>
          </w:p>
        </w:tc>
      </w:tr>
      <w:tr w:rsidR="00FC34B5" w14:paraId="6CFF2CE8" w14:textId="77777777" w:rsidTr="00FC34B5">
        <w:tc>
          <w:tcPr>
            <w:tcW w:w="4148" w:type="dxa"/>
          </w:tcPr>
          <w:p w14:paraId="2EDF3B15" w14:textId="7AC5597A" w:rsidR="00FC34B5" w:rsidRPr="00FC34B5" w:rsidRDefault="00FC34B5" w:rsidP="00C919FB">
            <w:pPr>
              <w:jc w:val="both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skeleton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(1)</w:t>
            </w:r>
          </w:p>
        </w:tc>
        <w:tc>
          <w:tcPr>
            <w:tcW w:w="4148" w:type="dxa"/>
          </w:tcPr>
          <w:p w14:paraId="44EA5657" w14:textId="7381EA3D" w:rsidR="00FC34B5" w:rsidRDefault="00FC34B5" w:rsidP="00C919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1.92</w:t>
            </w:r>
          </w:p>
        </w:tc>
      </w:tr>
      <w:tr w:rsidR="00FC34B5" w14:paraId="2ADEC1B9" w14:textId="77777777" w:rsidTr="00FC34B5">
        <w:tc>
          <w:tcPr>
            <w:tcW w:w="4148" w:type="dxa"/>
          </w:tcPr>
          <w:p w14:paraId="146AB04D" w14:textId="4DF418F2" w:rsidR="00FC34B5" w:rsidRPr="00FC34B5" w:rsidRDefault="00FC34B5" w:rsidP="00C919FB">
            <w:pPr>
              <w:jc w:val="both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soft</w:t>
            </w:r>
            <w:proofErr w:type="spellEnd"/>
            <w:r>
              <w:rPr>
                <w:vertAlign w:val="subscript"/>
                <w:lang w:val="en-US"/>
              </w:rPr>
              <w:t xml:space="preserve"> tissue </w:t>
            </w:r>
            <w:r>
              <w:rPr>
                <w:vertAlign w:val="superscript"/>
                <w:lang w:val="en-US"/>
              </w:rPr>
              <w:t>(2)</w:t>
            </w:r>
          </w:p>
        </w:tc>
        <w:tc>
          <w:tcPr>
            <w:tcW w:w="4148" w:type="dxa"/>
          </w:tcPr>
          <w:p w14:paraId="5BFA42BA" w14:textId="5A0423BD" w:rsidR="00FC34B5" w:rsidRDefault="00FC34B5" w:rsidP="00C919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0.940</w:t>
            </w:r>
          </w:p>
        </w:tc>
      </w:tr>
      <w:tr w:rsidR="00FC34B5" w14:paraId="6A2B9B61" w14:textId="77777777" w:rsidTr="00FC34B5">
        <w:tc>
          <w:tcPr>
            <w:tcW w:w="4148" w:type="dxa"/>
          </w:tcPr>
          <w:p w14:paraId="3EBA9C1E" w14:textId="4F5FD226" w:rsidR="00FC34B5" w:rsidRPr="00FC34B5" w:rsidRDefault="00FC34B5" w:rsidP="00C919FB">
            <w:pPr>
              <w:jc w:val="both"/>
              <w:rPr>
                <w:vertAlign w:val="superscript"/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rest</w:t>
            </w:r>
            <w:proofErr w:type="spellEnd"/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vertAlign w:val="superscript"/>
                <w:lang w:val="en-US"/>
              </w:rPr>
              <w:t>(1)</w:t>
            </w:r>
          </w:p>
        </w:tc>
        <w:tc>
          <w:tcPr>
            <w:tcW w:w="4148" w:type="dxa"/>
          </w:tcPr>
          <w:p w14:paraId="1803F06F" w14:textId="650760AA" w:rsidR="00FC34B5" w:rsidRDefault="00FC34B5" w:rsidP="00C919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BABBDC" w14:textId="72E0690C" w:rsidR="00FC34B5" w:rsidRDefault="00FC34B5" w:rsidP="00C919FB">
      <w:pPr>
        <w:jc w:val="both"/>
        <w:rPr>
          <w:lang w:val="en-US"/>
        </w:rPr>
      </w:pPr>
    </w:p>
    <w:p w14:paraId="262ADC5C" w14:textId="23B4F4A1" w:rsidR="00FC34B5" w:rsidRDefault="00FC34B5" w:rsidP="00FC34B5">
      <w:pPr>
        <w:jc w:val="both"/>
        <w:rPr>
          <w:lang w:val="en-US"/>
        </w:rPr>
      </w:pPr>
      <w:r>
        <w:rPr>
          <w:vertAlign w:val="superscript"/>
          <w:lang w:val="en-US"/>
        </w:rPr>
        <w:t>(1)</w:t>
      </w:r>
      <w:r>
        <w:rPr>
          <w:lang w:val="en-US"/>
        </w:rPr>
        <w:t xml:space="preserve"> </w:t>
      </w:r>
      <w:r w:rsidRPr="00FC34B5">
        <w:rPr>
          <w:lang w:val="en-US"/>
        </w:rPr>
        <w:t xml:space="preserve">Brown, R.P., </w:t>
      </w:r>
      <w:proofErr w:type="spellStart"/>
      <w:r w:rsidRPr="00FC34B5">
        <w:rPr>
          <w:lang w:val="en-US"/>
        </w:rPr>
        <w:t>Delp</w:t>
      </w:r>
      <w:proofErr w:type="spellEnd"/>
      <w:r w:rsidRPr="00FC34B5">
        <w:rPr>
          <w:lang w:val="en-US"/>
        </w:rPr>
        <w:t xml:space="preserve">, M.D., </w:t>
      </w:r>
      <w:proofErr w:type="spellStart"/>
      <w:r w:rsidRPr="00FC34B5">
        <w:rPr>
          <w:lang w:val="en-US"/>
        </w:rPr>
        <w:t>Lindstedt</w:t>
      </w:r>
      <w:proofErr w:type="spellEnd"/>
      <w:r w:rsidRPr="00FC34B5">
        <w:rPr>
          <w:lang w:val="en-US"/>
        </w:rPr>
        <w:t xml:space="preserve">, S.L., </w:t>
      </w:r>
      <w:proofErr w:type="spellStart"/>
      <w:r w:rsidRPr="00FC34B5">
        <w:rPr>
          <w:lang w:val="en-US"/>
        </w:rPr>
        <w:t>Rhomberg</w:t>
      </w:r>
      <w:proofErr w:type="spellEnd"/>
      <w:r w:rsidRPr="00FC34B5">
        <w:rPr>
          <w:lang w:val="en-US"/>
        </w:rPr>
        <w:t xml:space="preserve">, L.R. and </w:t>
      </w:r>
      <w:proofErr w:type="spellStart"/>
      <w:r w:rsidRPr="00FC34B5">
        <w:rPr>
          <w:lang w:val="en-US"/>
        </w:rPr>
        <w:t>Beliles</w:t>
      </w:r>
      <w:proofErr w:type="spellEnd"/>
      <w:r w:rsidRPr="00FC34B5">
        <w:rPr>
          <w:lang w:val="en-US"/>
        </w:rPr>
        <w:t>, R.P. (1997). Physiological Parameter Values for Physiologically Based Pharmacokinetic Models. Toxicology</w:t>
      </w:r>
      <w:r>
        <w:rPr>
          <w:lang w:val="en-US"/>
        </w:rPr>
        <w:t xml:space="preserve"> </w:t>
      </w:r>
      <w:r w:rsidRPr="00FC34B5">
        <w:rPr>
          <w:lang w:val="en-US"/>
        </w:rPr>
        <w:t>and Industrial Health, 13(4), pp.407–484.</w:t>
      </w:r>
    </w:p>
    <w:p w14:paraId="48BF3464" w14:textId="475A4F01" w:rsidR="00C919FB" w:rsidRDefault="000F5214" w:rsidP="00C919FB">
      <w:pPr>
        <w:jc w:val="both"/>
        <w:rPr>
          <w:lang w:val="en-US"/>
        </w:rPr>
      </w:pPr>
      <w:r>
        <w:rPr>
          <w:vertAlign w:val="superscript"/>
          <w:lang w:val="en-US"/>
        </w:rPr>
        <w:t>(2)</w:t>
      </w:r>
      <w:r>
        <w:rPr>
          <w:lang w:val="en-US"/>
        </w:rPr>
        <w:t xml:space="preserve"> </w:t>
      </w:r>
      <w:proofErr w:type="spellStart"/>
      <w:r w:rsidRPr="000F5214">
        <w:rPr>
          <w:lang w:val="en-US"/>
        </w:rPr>
        <w:t>Rotondo</w:t>
      </w:r>
      <w:proofErr w:type="spellEnd"/>
      <w:r w:rsidRPr="000F5214">
        <w:rPr>
          <w:lang w:val="en-US"/>
        </w:rPr>
        <w:t xml:space="preserve">, F., Romero, M. del M., Ho-Palma, A.C., </w:t>
      </w:r>
      <w:proofErr w:type="spellStart"/>
      <w:r w:rsidRPr="000F5214">
        <w:rPr>
          <w:lang w:val="en-US"/>
        </w:rPr>
        <w:t>Remesar</w:t>
      </w:r>
      <w:proofErr w:type="spellEnd"/>
      <w:r w:rsidRPr="000F5214">
        <w:rPr>
          <w:lang w:val="en-US"/>
        </w:rPr>
        <w:t xml:space="preserve">, X., Fernández-López, </w:t>
      </w:r>
      <w:proofErr w:type="spellStart"/>
      <w:r w:rsidRPr="000F5214">
        <w:rPr>
          <w:lang w:val="en-US"/>
        </w:rPr>
        <w:t>J.A.and</w:t>
      </w:r>
      <w:proofErr w:type="spellEnd"/>
      <w:r w:rsidRPr="000F5214">
        <w:rPr>
          <w:lang w:val="en-US"/>
        </w:rPr>
        <w:t xml:space="preserve"> </w:t>
      </w:r>
      <w:proofErr w:type="spellStart"/>
      <w:r w:rsidRPr="000F5214">
        <w:rPr>
          <w:lang w:val="en-US"/>
        </w:rPr>
        <w:t>Alemany</w:t>
      </w:r>
      <w:proofErr w:type="spellEnd"/>
      <w:r w:rsidRPr="000F5214">
        <w:rPr>
          <w:lang w:val="en-US"/>
        </w:rPr>
        <w:t>, M. (2016). Quantitative analysis of rat adipose tissue cell recovery, and non</w:t>
      </w:r>
      <w:r>
        <w:rPr>
          <w:lang w:val="en-US"/>
        </w:rPr>
        <w:t>-</w:t>
      </w:r>
      <w:r w:rsidRPr="000F5214">
        <w:rPr>
          <w:lang w:val="en-US"/>
        </w:rPr>
        <w:t xml:space="preserve">fat cell volume, in primary cell cultures. </w:t>
      </w:r>
      <w:proofErr w:type="spellStart"/>
      <w:r w:rsidRPr="000F5214">
        <w:rPr>
          <w:lang w:val="en-US"/>
        </w:rPr>
        <w:t>PeerJ</w:t>
      </w:r>
      <w:proofErr w:type="spellEnd"/>
      <w:r w:rsidRPr="000F5214">
        <w:rPr>
          <w:lang w:val="en-US"/>
        </w:rPr>
        <w:t>, 4, p.e2725.</w:t>
      </w:r>
    </w:p>
    <w:p w14:paraId="6E95A3D7" w14:textId="7DBB5E12" w:rsidR="000F5214" w:rsidRDefault="000F5214" w:rsidP="00C919FB">
      <w:pPr>
        <w:jc w:val="both"/>
        <w:rPr>
          <w:lang w:val="en-US"/>
        </w:rPr>
      </w:pPr>
    </w:p>
    <w:p w14:paraId="1814D932" w14:textId="1B6702E3" w:rsidR="000F5214" w:rsidRPr="000F5214" w:rsidRDefault="000F5214" w:rsidP="00C919FB">
      <w:pPr>
        <w:jc w:val="both"/>
        <w:rPr>
          <w:sz w:val="32"/>
          <w:szCs w:val="32"/>
          <w:lang w:val="en-US"/>
        </w:rPr>
      </w:pPr>
      <w:r w:rsidRPr="000F5214">
        <w:rPr>
          <w:sz w:val="32"/>
          <w:szCs w:val="32"/>
          <w:lang w:val="en-US"/>
        </w:rPr>
        <w:t>General parameters</w:t>
      </w:r>
    </w:p>
    <w:p w14:paraId="59E68532" w14:textId="7F2977FC" w:rsidR="000F5214" w:rsidRPr="000F5214" w:rsidRDefault="000F5214" w:rsidP="00C919FB">
      <w:pPr>
        <w:jc w:val="both"/>
        <w:rPr>
          <w:u w:val="single"/>
          <w:lang w:val="en-US"/>
        </w:rPr>
      </w:pPr>
      <w:r w:rsidRPr="000F5214">
        <w:rPr>
          <w:u w:val="single"/>
          <w:lang w:val="en-US"/>
        </w:rPr>
        <w:t>Total cardiac output (BW given in g):</w:t>
      </w:r>
    </w:p>
    <w:p w14:paraId="76F48C7A" w14:textId="28DE0573" w:rsidR="000F5214" w:rsidRDefault="000F5214" w:rsidP="00C919FB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883C772" wp14:editId="1B043917">
            <wp:extent cx="5274310" cy="69024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7391" w14:textId="4C1260B9" w:rsidR="000F5214" w:rsidRDefault="000F5214" w:rsidP="00C919FB">
      <w:pPr>
        <w:jc w:val="both"/>
        <w:rPr>
          <w:lang w:val="en-US"/>
        </w:rPr>
      </w:pPr>
      <w:r>
        <w:rPr>
          <w:lang w:val="en-US"/>
        </w:rPr>
        <w:t>Provided by:</w:t>
      </w:r>
    </w:p>
    <w:p w14:paraId="67D79CF4" w14:textId="1A938991" w:rsidR="000F5214" w:rsidRDefault="000F5214" w:rsidP="000F5214">
      <w:pPr>
        <w:jc w:val="both"/>
        <w:rPr>
          <w:lang w:val="en-US"/>
        </w:rPr>
      </w:pPr>
      <w:r w:rsidRPr="00FC34B5">
        <w:rPr>
          <w:lang w:val="en-US"/>
        </w:rPr>
        <w:t xml:space="preserve">Brown, R.P., </w:t>
      </w:r>
      <w:proofErr w:type="spellStart"/>
      <w:r w:rsidRPr="00FC34B5">
        <w:rPr>
          <w:lang w:val="en-US"/>
        </w:rPr>
        <w:t>Delp</w:t>
      </w:r>
      <w:proofErr w:type="spellEnd"/>
      <w:r w:rsidRPr="00FC34B5">
        <w:rPr>
          <w:lang w:val="en-US"/>
        </w:rPr>
        <w:t xml:space="preserve">, M.D., </w:t>
      </w:r>
      <w:proofErr w:type="spellStart"/>
      <w:r w:rsidRPr="00FC34B5">
        <w:rPr>
          <w:lang w:val="en-US"/>
        </w:rPr>
        <w:t>Lindstedt</w:t>
      </w:r>
      <w:proofErr w:type="spellEnd"/>
      <w:r w:rsidRPr="00FC34B5">
        <w:rPr>
          <w:lang w:val="en-US"/>
        </w:rPr>
        <w:t xml:space="preserve">, S.L., </w:t>
      </w:r>
      <w:proofErr w:type="spellStart"/>
      <w:r w:rsidRPr="00FC34B5">
        <w:rPr>
          <w:lang w:val="en-US"/>
        </w:rPr>
        <w:t>Rhomberg</w:t>
      </w:r>
      <w:proofErr w:type="spellEnd"/>
      <w:r w:rsidRPr="00FC34B5">
        <w:rPr>
          <w:lang w:val="en-US"/>
        </w:rPr>
        <w:t xml:space="preserve">, L.R. and </w:t>
      </w:r>
      <w:proofErr w:type="spellStart"/>
      <w:r w:rsidRPr="00FC34B5">
        <w:rPr>
          <w:lang w:val="en-US"/>
        </w:rPr>
        <w:t>Beliles</w:t>
      </w:r>
      <w:proofErr w:type="spellEnd"/>
      <w:r w:rsidRPr="00FC34B5">
        <w:rPr>
          <w:lang w:val="en-US"/>
        </w:rPr>
        <w:t>, R.P. (1997). Physiological Parameter Values for Physiologically Based Pharmacokinetic Models. Toxicology</w:t>
      </w:r>
      <w:r>
        <w:rPr>
          <w:lang w:val="en-US"/>
        </w:rPr>
        <w:t xml:space="preserve"> </w:t>
      </w:r>
      <w:r w:rsidRPr="00FC34B5">
        <w:rPr>
          <w:lang w:val="en-US"/>
        </w:rPr>
        <w:t>and Industrial Health, 13(4), pp.407–484.</w:t>
      </w:r>
    </w:p>
    <w:p w14:paraId="29113759" w14:textId="1485299A" w:rsidR="000F5214" w:rsidRDefault="000F5214" w:rsidP="000F5214">
      <w:pPr>
        <w:jc w:val="both"/>
        <w:rPr>
          <w:lang w:val="en-US"/>
        </w:rPr>
      </w:pPr>
    </w:p>
    <w:p w14:paraId="5399AB5F" w14:textId="601D5DC6" w:rsidR="000F5214" w:rsidRPr="000F5214" w:rsidRDefault="000F5214" w:rsidP="000F5214">
      <w:pPr>
        <w:jc w:val="both"/>
        <w:rPr>
          <w:u w:val="single"/>
          <w:lang w:val="en-US"/>
        </w:rPr>
      </w:pPr>
      <w:r w:rsidRPr="000F5214">
        <w:rPr>
          <w:u w:val="single"/>
          <w:lang w:val="en-US"/>
        </w:rPr>
        <w:t>Blood volume:</w:t>
      </w:r>
    </w:p>
    <w:p w14:paraId="61A353F0" w14:textId="6EBC7671" w:rsidR="000F5214" w:rsidRDefault="000F5214" w:rsidP="000F5214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F18BF9E" wp14:editId="7396B2DA">
            <wp:extent cx="5274310" cy="777875"/>
            <wp:effectExtent l="0" t="0" r="2540" b="317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652E" w14:textId="1C698AD3" w:rsidR="000F5214" w:rsidRDefault="000F5214" w:rsidP="00C919FB">
      <w:pPr>
        <w:jc w:val="both"/>
        <w:rPr>
          <w:lang w:val="en-US"/>
        </w:rPr>
      </w:pPr>
      <w:r>
        <w:rPr>
          <w:lang w:val="en-US"/>
        </w:rPr>
        <w:t>Provided by:</w:t>
      </w:r>
    </w:p>
    <w:p w14:paraId="17FF7D92" w14:textId="6F656521" w:rsidR="000F5214" w:rsidRDefault="000F5214" w:rsidP="00C919FB">
      <w:pPr>
        <w:jc w:val="both"/>
        <w:rPr>
          <w:lang w:val="en-US"/>
        </w:rPr>
      </w:pPr>
      <w:r w:rsidRPr="000F5214">
        <w:rPr>
          <w:lang w:val="en-US"/>
        </w:rPr>
        <w:t xml:space="preserve">Lee, H. and </w:t>
      </w:r>
      <w:proofErr w:type="spellStart"/>
      <w:r w:rsidRPr="000F5214">
        <w:rPr>
          <w:lang w:val="en-US"/>
        </w:rPr>
        <w:t>Blaufox</w:t>
      </w:r>
      <w:proofErr w:type="spellEnd"/>
      <w:r w:rsidRPr="000F5214">
        <w:rPr>
          <w:lang w:val="en-US"/>
        </w:rPr>
        <w:t>, M. (1985). Blood Volume in the Rat</w:t>
      </w:r>
      <w:proofErr w:type="gramStart"/>
      <w:r w:rsidRPr="000F5214">
        <w:rPr>
          <w:lang w:val="en-US"/>
        </w:rPr>
        <w:t>. .</w:t>
      </w:r>
      <w:proofErr w:type="gramEnd"/>
      <w:r w:rsidRPr="000F5214">
        <w:rPr>
          <w:lang w:val="en-US"/>
        </w:rPr>
        <w:t xml:space="preserve"> Journal of Nuclear Medicine.</w:t>
      </w:r>
    </w:p>
    <w:p w14:paraId="1FE5A1C5" w14:textId="477BC2EE" w:rsidR="000F5214" w:rsidRDefault="000F5214" w:rsidP="00C919FB">
      <w:pPr>
        <w:jc w:val="both"/>
        <w:rPr>
          <w:lang w:val="en-US"/>
        </w:rPr>
      </w:pPr>
    </w:p>
    <w:p w14:paraId="71F1FF6C" w14:textId="52BC39D5" w:rsidR="000F5214" w:rsidRPr="000F5214" w:rsidRDefault="000F5214" w:rsidP="00C919FB">
      <w:pPr>
        <w:jc w:val="both"/>
        <w:rPr>
          <w:lang w:val="en-US"/>
        </w:rPr>
      </w:pPr>
      <w:r>
        <w:rPr>
          <w:lang w:val="en-US"/>
        </w:rPr>
        <w:t>Venous blood volume (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ven</w:t>
      </w:r>
      <w:proofErr w:type="spellEnd"/>
      <w:r>
        <w:rPr>
          <w:lang w:val="en-US"/>
        </w:rPr>
        <w:t xml:space="preserve">) is the 64% of total blood volume, while the arterial blood volume is the </w:t>
      </w:r>
      <w:r w:rsidR="004F25DC">
        <w:rPr>
          <w:lang w:val="en-US"/>
        </w:rPr>
        <w:t>15% of total blood volume based on Brown et al.1997</w:t>
      </w:r>
    </w:p>
    <w:sectPr w:rsidR="000F5214" w:rsidRPr="000F52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03063"/>
    <w:multiLevelType w:val="hybridMultilevel"/>
    <w:tmpl w:val="03D0B5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6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6B"/>
    <w:rsid w:val="000F3A19"/>
    <w:rsid w:val="000F5214"/>
    <w:rsid w:val="004F25DC"/>
    <w:rsid w:val="00676084"/>
    <w:rsid w:val="006C0F6B"/>
    <w:rsid w:val="00C919FB"/>
    <w:rsid w:val="00D65262"/>
    <w:rsid w:val="00FC34B5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3596"/>
  <w15:chartTrackingRefBased/>
  <w15:docId w15:val="{59AB6AD5-2F36-4CAF-914E-07511FCA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6C0F6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65262"/>
    <w:pPr>
      <w:ind w:left="720"/>
      <w:contextualSpacing/>
    </w:pPr>
  </w:style>
  <w:style w:type="table" w:styleId="TableGrid">
    <w:name w:val="Table Grid"/>
    <w:basedOn w:val="TableNormal"/>
    <w:uiPriority w:val="39"/>
    <w:rsid w:val="00FC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498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 Μηναδακης</dc:creator>
  <cp:keywords/>
  <dc:description/>
  <cp:lastModifiedBy>Βασιλειος Μηναδακης</cp:lastModifiedBy>
  <cp:revision>2</cp:revision>
  <dcterms:created xsi:type="dcterms:W3CDTF">2022-09-19T16:40:00Z</dcterms:created>
  <dcterms:modified xsi:type="dcterms:W3CDTF">2022-09-19T17:25:00Z</dcterms:modified>
</cp:coreProperties>
</file>