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Title"/>
      </w:pPr>
      <w:r>
        <w:t xml:space="preserve">Complaint report (short) SYN-2026-006</w:t>
      </w:r>
    </w:p>
    <w:tbl>
      <w:tblPr>
        <w:tblStyle w:val="DossierTable"/>
        <w:tblW w:w="5000" w:type="pct"/>
      </w:tblPr>
      <w:tr>
        <w:trPr>
          <w:tblHeader/>
        </w:trPr>
        <w:tc>
          <w:tcPr>
            <w:tcW w:w="0" w:type="auto"/>
          </w:tcPr>
          <w:p>
            <w:pPr>
              <w:pStyle w:val="TableText"/>
            </w:pPr>
            <w:r>
              <w:rPr>
                <w:b/>
              </w:rPr>
              <w:t xml:space="preserve">Field</w:t>
            </w:r>
          </w:p>
        </w:tc>
        <w:tc>
          <w:tcPr>
            <w:tcW w:w="0" w:type="auto"/>
          </w:tcPr>
          <w:p>
            <w:pPr>
              <w:pStyle w:val="TableText"/>
            </w:pPr>
            <w:r>
              <w:rPr>
                <w:b/>
              </w:rPr>
              <w:t xml:space="preserve">Value</w:t>
            </w:r>
          </w:p>
        </w:tc>
      </w:tr>
      <w:tr>
        <w:tc>
          <w:tcPr>
            <w:tcW w:w="0" w:type="auto"/>
          </w:tcPr>
          <w:p>
            <w:pPr>
              <w:pStyle w:val="TableText"/>
            </w:pPr>
            <w:r>
              <w:t xml:space="preserve">Case ID</w:t>
            </w:r>
          </w:p>
        </w:tc>
        <w:tc>
          <w:tcPr>
            <w:tcW w:w="0" w:type="auto"/>
          </w:tcPr>
          <w:p>
            <w:pPr>
              <w:pStyle w:val="TableText"/>
            </w:pPr>
            <w:r>
              <w:t xml:space="preserve">SYN-2026-006</w:t>
            </w:r>
          </w:p>
        </w:tc>
      </w:tr>
      <w:tr>
        <w:tc>
          <w:tcPr>
            <w:tcW w:w="0" w:type="auto"/>
          </w:tcPr>
          <w:p>
            <w:pPr>
              <w:pStyle w:val="TableText"/>
            </w:pPr>
            <w:r>
              <w:t xml:space="preserve">Report type</w:t>
            </w:r>
          </w:p>
        </w:tc>
        <w:tc>
          <w:tcPr>
            <w:tcW w:w="0" w:type="auto"/>
          </w:tcPr>
          <w:p>
            <w:pPr>
              <w:pStyle w:val="TableText"/>
            </w:pPr>
            <w:r>
              <w:t xml:space="preserve">Short report</w:t>
            </w:r>
          </w:p>
        </w:tc>
      </w:tr>
      <w:tr>
        <w:tc>
          <w:tcPr>
            <w:tcW w:w="0" w:type="auto"/>
          </w:tcPr>
          <w:p>
            <w:pPr>
              <w:pStyle w:val="TableText"/>
            </w:pPr>
            <w:r>
              <w:t xml:space="preserve">Run ID</w:t>
            </w:r>
          </w:p>
        </w:tc>
        <w:tc>
          <w:tcPr>
            <w:tcW w:w="0" w:type="auto"/>
          </w:tcPr>
          <w:p>
            <w:pPr>
              <w:pStyle w:val="TableText"/>
            </w:pPr>
            <w:r>
              <w:t xml:space="preserve">20261030T095212Z-0d886d</w:t>
            </w:r>
          </w:p>
        </w:tc>
      </w:tr>
      <w:tr>
        <w:tc>
          <w:tcPr>
            <w:tcW w:w="0" w:type="auto"/>
          </w:tcPr>
          <w:p>
            <w:pPr>
              <w:pStyle w:val="TableText"/>
            </w:pPr>
            <w:r>
              <w:t xml:space="preserve">Generated (UTC)</w:t>
            </w:r>
          </w:p>
        </w:tc>
        <w:tc>
          <w:tcPr>
            <w:tcW w:w="0" w:type="auto"/>
          </w:tcPr>
          <w:p>
            <w:pPr>
              <w:pStyle w:val="TableText"/>
            </w:pPr>
            <w:r>
              <w:t xml:space="preserve">2026-10-30 09:52:12</w:t>
            </w:r>
          </w:p>
        </w:tc>
      </w:tr>
      <w:tr>
        <w:tc>
          <w:tcPr>
            <w:tcW w:w="0" w:type="auto"/>
          </w:tcPr>
          <w:p>
            <w:pPr>
              <w:pStyle w:val="TableText"/>
            </w:pPr>
            <w:r>
              <w:t xml:space="preserve">Mode</w:t>
            </w:r>
          </w:p>
        </w:tc>
        <w:tc>
          <w:tcPr>
            <w:tcW w:w="0" w:type="auto"/>
          </w:tcPr>
          <w:p>
            <w:pPr>
              <w:pStyle w:val="TableText"/>
            </w:pPr>
            <w:r>
              <w:t xml:space="preserve">Demo: prewritten sample answer, Copilot not used</w:t>
            </w:r>
          </w:p>
        </w:tc>
      </w:tr>
      <w:tr>
        <w:tc>
          <w:tcPr>
            <w:tcW w:w="0" w:type="auto"/>
          </w:tcPr>
          <w:p>
            <w:pPr>
              <w:pStyle w:val="TableText"/>
            </w:pPr>
            <w:r>
              <w:t xml:space="preserve">Model</w:t>
            </w:r>
          </w:p>
        </w:tc>
        <w:tc>
          <w:tcPr>
            <w:tcW w:w="0" w:type="auto"/>
          </w:tcPr>
          <w:p>
            <w:pPr>
              <w:pStyle w:val="TableText"/>
            </w:pPr>
            <w:r>
              <w:t xml:space="preserve">none (demo mode)</w:t>
            </w:r>
          </w:p>
        </w:tc>
      </w:tr>
      <w:tr>
        <w:tc>
          <w:tcPr>
            <w:tcW w:w="0" w:type="auto"/>
          </w:tcPr>
          <w:p>
            <w:pPr>
              <w:pStyle w:val="TableText"/>
            </w:pPr>
            <w:r>
              <w:t xml:space="preserve">Complaint list SHA-256</w:t>
            </w:r>
          </w:p>
        </w:tc>
        <w:tc>
          <w:tcPr>
            <w:tcW w:w="0" w:type="auto"/>
          </w:tcPr>
          <w:p>
            <w:pPr>
              <w:pStyle w:val="TableText"/>
            </w:pPr>
            <w:r>
              <w:t xml:space="preserve">119a5cbc060456529481d78dcdd13122df23b2142533e48f6ee13b7bc2c8ef39</w:t>
            </w:r>
          </w:p>
        </w:tc>
      </w:tr>
      <w:tr>
        <w:tc>
          <w:tcPr>
            <w:tcW w:w="0" w:type="auto"/>
          </w:tcPr>
          <w:p>
            <w:pPr>
              <w:pStyle w:val="TableText"/>
            </w:pPr>
            <w:r>
              <w:t xml:space="preserve">Prompt SHA-256</w:t>
            </w:r>
          </w:p>
        </w:tc>
        <w:tc>
          <w:tcPr>
            <w:tcW w:w="0" w:type="auto"/>
          </w:tcPr>
          <w:p>
            <w:pPr>
              <w:pStyle w:val="TableText"/>
            </w:pPr>
            <w:r>
              <w:t xml:space="preserve">c5a303034e2c32719bddad833b8556c7a4f9c6c1a6d35525b8a6f2e60da46deb</w:t>
            </w:r>
          </w:p>
        </w:tc>
      </w:tr>
      <w:tr>
        <w:tc>
          <w:tcPr>
            <w:tcW w:w="0" w:type="auto"/>
          </w:tcPr>
          <w:p>
            <w:pPr>
              <w:pStyle w:val="TableText"/>
            </w:pPr>
            <w:r>
              <w:t xml:space="preserve">Response SHA-256</w:t>
            </w:r>
          </w:p>
        </w:tc>
        <w:tc>
          <w:tcPr>
            <w:tcW w:w="0" w:type="auto"/>
          </w:tcPr>
          <w:p>
            <w:pPr>
              <w:pStyle w:val="TableText"/>
            </w:pPr>
            <w:r>
              <w:t xml:space="preserve">8243a35a265b87b9d250c07979c01c5a6b8271e0e883b53b9f949bd68074307a</w:t>
            </w:r>
          </w:p>
        </w:tc>
      </w:tr>
    </w:tbl>
    <w:p>
      <w:pPr>
        <w:pStyle w:val="Heading1"/>
      </w:pPr>
      <w:r>
        <w:t xml:space="preserve">1 Complaint record</w:t>
      </w:r>
    </w:p>
    <w:p>
      <w:pPr>
        <w:pStyle w:val="Note"/>
      </w:pPr>
      <w:r>
        <w:t xml:space="preserve">From the complaint list. Contact data in the description is masked.</w:t>
      </w:r>
    </w:p>
    <w:tbl>
      <w:tblPr>
        <w:tblStyle w:val="DossierTable"/>
        <w:tblW w:w="5000" w:type="pct"/>
      </w:tblPr>
      <w:tr>
        <w:trPr>
          <w:tblHeader/>
        </w:trPr>
        <w:tc>
          <w:tcPr>
            <w:tcW w:w="0" w:type="auto"/>
          </w:tcPr>
          <w:p>
            <w:pPr>
              <w:pStyle w:val="TableText"/>
            </w:pPr>
            <w:r>
              <w:rPr>
                <w:b/>
              </w:rPr>
              <w:t xml:space="preserve">Field</w:t>
            </w:r>
          </w:p>
        </w:tc>
        <w:tc>
          <w:tcPr>
            <w:tcW w:w="0" w:type="auto"/>
          </w:tcPr>
          <w:p>
            <w:pPr>
              <w:pStyle w:val="TableText"/>
            </w:pPr>
            <w:r>
              <w:rPr>
                <w:b/>
              </w:rPr>
              <w:t xml:space="preserve">Value</w:t>
            </w:r>
          </w:p>
        </w:tc>
      </w:tr>
      <w:tr>
        <w:tc>
          <w:tcPr>
            <w:tcW w:w="0" w:type="auto"/>
          </w:tcPr>
          <w:p>
            <w:pPr>
              <w:pStyle w:val="TableText"/>
            </w:pPr>
            <w:r>
              <w:t xml:space="preserve">Received</w:t>
            </w:r>
          </w:p>
        </w:tc>
        <w:tc>
          <w:tcPr>
            <w:tcW w:w="0" w:type="auto"/>
          </w:tcPr>
          <w:p>
            <w:pPr>
              <w:pStyle w:val="TableText"/>
            </w:pPr>
            <w:r>
              <w:t xml:space="preserve">2026-04-08</w:t>
            </w:r>
          </w:p>
        </w:tc>
      </w:tr>
      <w:tr>
        <w:tc>
          <w:tcPr>
            <w:tcW w:w="0" w:type="auto"/>
          </w:tcPr>
          <w:p>
            <w:pPr>
              <w:pStyle w:val="TableText"/>
            </w:pPr>
            <w:r>
              <w:t xml:space="preserve">Category</w:t>
            </w:r>
          </w:p>
        </w:tc>
        <w:tc>
          <w:tcPr>
            <w:tcW w:w="0" w:type="auto"/>
          </w:tcPr>
          <w:p>
            <w:pPr>
              <w:pStyle w:val="TableText"/>
            </w:pPr>
            <w:r>
              <w:t xml:space="preserve">Packaging damage</w:t>
            </w:r>
          </w:p>
        </w:tc>
      </w:tr>
      <w:tr>
        <w:tc>
          <w:tcPr>
            <w:tcW w:w="0" w:type="auto"/>
          </w:tcPr>
          <w:p>
            <w:pPr>
              <w:pStyle w:val="TableText"/>
            </w:pPr>
            <w:r>
              <w:t xml:space="preserve">Product group</w:t>
            </w:r>
          </w:p>
        </w:tc>
        <w:tc>
          <w:tcPr>
            <w:tcW w:w="0" w:type="auto"/>
          </w:tcPr>
          <w:p>
            <w:pPr>
              <w:pStyle w:val="TableText"/>
            </w:pPr>
            <w:r>
              <w:t xml:space="preserve">Tablets</w:t>
            </w:r>
          </w:p>
        </w:tc>
      </w:tr>
      <w:tr>
        <w:tc>
          <w:tcPr>
            <w:tcW w:w="0" w:type="auto"/>
          </w:tcPr>
          <w:p>
            <w:pPr>
              <w:pStyle w:val="TableText"/>
            </w:pPr>
            <w:r>
              <w:t xml:space="preserve">Batch</w:t>
            </w:r>
          </w:p>
        </w:tc>
        <w:tc>
          <w:tcPr>
            <w:tcW w:w="0" w:type="auto"/>
          </w:tcPr>
          <w:p>
            <w:pPr>
              <w:pStyle w:val="TableText"/>
            </w:pPr>
            <w:r>
              <w:t xml:space="preserve">SYN-LOT-26A011</w:t>
            </w:r>
          </w:p>
        </w:tc>
      </w:tr>
      <w:tr>
        <w:tc>
          <w:tcPr>
            <w:tcW w:w="0" w:type="auto"/>
          </w:tcPr>
          <w:p>
            <w:pPr>
              <w:pStyle w:val="TableText"/>
            </w:pPr>
            <w:r>
              <w:t xml:space="preserve">Severity</w:t>
            </w:r>
          </w:p>
        </w:tc>
        <w:tc>
          <w:tcPr>
            <w:tcW w:w="0" w:type="auto"/>
          </w:tcPr>
          <w:p>
            <w:pPr>
              <w:pStyle w:val="TableText"/>
            </w:pPr>
            <w:r>
              <w:t xml:space="preserve">Minor</w:t>
            </w:r>
          </w:p>
        </w:tc>
      </w:tr>
      <w:tr>
        <w:tc>
          <w:tcPr>
            <w:tcW w:w="0" w:type="auto"/>
          </w:tcPr>
          <w:p>
            <w:pPr>
              <w:pStyle w:val="TableText"/>
            </w:pPr>
            <w:r>
              <w:t xml:space="preserve">Status</w:t>
            </w:r>
          </w:p>
        </w:tc>
        <w:tc>
          <w:tcPr>
            <w:tcW w:w="0" w:type="auto"/>
          </w:tcPr>
          <w:p>
            <w:pPr>
              <w:pStyle w:val="TableText"/>
            </w:pPr>
            <w:r>
              <w:t xml:space="preserve">Open</w:t>
            </w:r>
          </w:p>
        </w:tc>
      </w:tr>
      <w:tr>
        <w:tc>
          <w:tcPr>
            <w:tcW w:w="0" w:type="auto"/>
          </w:tcPr>
          <w:p>
            <w:pPr>
              <w:pStyle w:val="TableText"/>
            </w:pPr>
            <w:r>
              <w:t xml:space="preserve">Sample received</w:t>
            </w:r>
          </w:p>
        </w:tc>
        <w:tc>
          <w:tcPr>
            <w:tcW w:w="0" w:type="auto"/>
          </w:tcPr>
          <w:p>
            <w:pPr>
              <w:pStyle w:val="TableText"/>
            </w:pPr>
            <w:r>
              <w:t xml:space="preserve">No</w:t>
            </w:r>
          </w:p>
        </w:tc>
      </w:tr>
      <w:tr>
        <w:tc>
          <w:tcPr>
            <w:tcW w:w="0" w:type="auto"/>
          </w:tcPr>
          <w:p>
            <w:pPr>
              <w:pStyle w:val="TableText"/>
            </w:pPr>
            <w:r>
              <w:t xml:space="preserve">Description</w:t>
            </w:r>
          </w:p>
        </w:tc>
        <w:tc>
          <w:tcPr>
            <w:tcW w:w="0" w:type="auto"/>
          </w:tcPr>
          <w:p>
            <w:pPr>
              <w:pStyle w:val="TableText"/>
            </w:pPr>
            <w:r>
              <w:t xml:space="preserve">Carton crushed in transport. The shipping box was also damaged.</w:t>
            </w:r>
          </w:p>
        </w:tc>
      </w:tr>
    </w:tbl>
    <w:p>
      <w:pPr>
        <w:pStyle w:val="Heading1"/>
      </w:pPr>
      <w:r>
        <w:t xml:space="preserve">2 Similar complaints</w:t>
      </w:r>
    </w:p>
    <w:p>
      <w:pPr>
        <w:pStyle w:val="Note"/>
      </w:pPr>
      <w:r>
        <w:t xml:space="preserve">Computed by the tool from the complaint list, not by the model.</w:t>
      </w:r>
    </w:p>
    <w:p>
      <w:pPr>
        <w:ind w:left="360" w:hanging="240"/>
      </w:pPr>
      <w:r>
        <w:t xml:space="preserve">• Same batch: no other case in the complaint list has batch SYN-LOT-26A011.</w:t>
      </w:r>
    </w:p>
    <w:p>
      <w:pPr>
        <w:ind w:left="360" w:hanging="240"/>
      </w:pPr>
      <w:r>
        <w:t xml:space="preserve">• Same product group and category (Tablets, Packaging damage): 1 other case received from 2025-04-09 to 2026-04-08, the 12 months up to this case; none of them in the last 30 days.</w:t>
      </w:r>
    </w:p>
    <w:p>
      <w:pPr>
        <w:ind w:left="360" w:hanging="240"/>
      </w:pPr>
      <w:r>
        <w:t xml:space="preserve">• Frequency level: occasional (from the number of other cases with the same product group and category in these 12 months).</w:t>
      </w:r>
    </w:p>
    <w:p>
      <w:pPr>
        <w:ind w:left="360" w:hanging="240"/>
      </w:pPr>
      <w:r>
        <w:t xml:space="preserve">• The complaint list holds 10 cases in total.</w:t>
      </w:r>
    </w:p>
    <w:tbl>
      <w:tblPr>
        <w:tblStyle w:val="DossierTable"/>
        <w:tblW w:w="5000" w:type="pct"/>
      </w:tblPr>
      <w:tr>
        <w:trPr>
          <w:tblHeader/>
        </w:trPr>
        <w:tc>
          <w:tcPr>
            <w:tcW w:w="0" w:type="auto"/>
          </w:tcPr>
          <w:p>
            <w:pPr>
              <w:pStyle w:val="TableText"/>
            </w:pPr>
            <w:r>
              <w:rPr>
                <w:b/>
              </w:rPr>
              <w:t xml:space="preserve">Case ID</w:t>
            </w:r>
          </w:p>
        </w:tc>
        <w:tc>
          <w:tcPr>
            <w:tcW w:w="0" w:type="auto"/>
          </w:tcPr>
          <w:p>
            <w:pPr>
              <w:pStyle w:val="TableText"/>
            </w:pPr>
            <w:r>
              <w:rPr>
                <w:b/>
              </w:rPr>
              <w:t xml:space="preserve">Received</w:t>
            </w:r>
          </w:p>
        </w:tc>
        <w:tc>
          <w:tcPr>
            <w:tcW w:w="0" w:type="auto"/>
          </w:tcPr>
          <w:p>
            <w:pPr>
              <w:pStyle w:val="TableText"/>
            </w:pPr>
            <w:r>
              <w:rPr>
                <w:b/>
              </w:rPr>
              <w:t xml:space="preserve">Category</w:t>
            </w:r>
          </w:p>
        </w:tc>
        <w:tc>
          <w:tcPr>
            <w:tcW w:w="0" w:type="auto"/>
          </w:tcPr>
          <w:p>
            <w:pPr>
              <w:pStyle w:val="TableText"/>
            </w:pPr>
            <w:r>
              <w:rPr>
                <w:b/>
              </w:rPr>
              <w:t xml:space="preserve">Product group</w:t>
            </w:r>
          </w:p>
        </w:tc>
        <w:tc>
          <w:tcPr>
            <w:tcW w:w="0" w:type="auto"/>
          </w:tcPr>
          <w:p>
            <w:pPr>
              <w:pStyle w:val="TableText"/>
            </w:pPr>
            <w:r>
              <w:rPr>
                <w:b/>
              </w:rPr>
              <w:t xml:space="preserve">Batch</w:t>
            </w:r>
          </w:p>
        </w:tc>
        <w:tc>
          <w:tcPr>
            <w:tcW w:w="0" w:type="auto"/>
          </w:tcPr>
          <w:p>
            <w:pPr>
              <w:pStyle w:val="TableText"/>
            </w:pPr>
            <w:r>
              <w:rPr>
                <w:b/>
              </w:rPr>
              <w:t xml:space="preserve">Status</w:t>
            </w:r>
          </w:p>
        </w:tc>
      </w:tr>
      <w:tr>
        <w:tc>
          <w:tcPr>
            <w:tcW w:w="0" w:type="auto"/>
          </w:tcPr>
          <w:p>
            <w:pPr>
              <w:pStyle w:val="TableText"/>
            </w:pPr>
            <w:r>
              <w:t xml:space="preserve">SYN-2026-001</w:t>
            </w:r>
          </w:p>
        </w:tc>
        <w:tc>
          <w:tcPr>
            <w:tcW w:w="0" w:type="auto"/>
          </w:tcPr>
          <w:p>
            <w:pPr>
              <w:pStyle w:val="TableText"/>
            </w:pPr>
            <w:r>
              <w:t xml:space="preserve">2026-01-12</w:t>
            </w:r>
          </w:p>
        </w:tc>
        <w:tc>
          <w:tcPr>
            <w:tcW w:w="0" w:type="auto"/>
          </w:tcPr>
          <w:p>
            <w:pPr>
              <w:pStyle w:val="TableText"/>
            </w:pPr>
            <w:r>
              <w:t xml:space="preserve">Packaging damage</w:t>
            </w:r>
          </w:p>
        </w:tc>
        <w:tc>
          <w:tcPr>
            <w:tcW w:w="0" w:type="auto"/>
          </w:tcPr>
          <w:p>
            <w:pPr>
              <w:pStyle w:val="TableText"/>
            </w:pPr>
            <w:r>
              <w:t xml:space="preserve">Tablets</w:t>
            </w:r>
          </w:p>
        </w:tc>
        <w:tc>
          <w:tcPr>
            <w:tcW w:w="0" w:type="auto"/>
          </w:tcPr>
          <w:p>
            <w:pPr>
              <w:pStyle w:val="TableText"/>
            </w:pPr>
            <w:r>
              <w:t xml:space="preserve">SYN-LOT-25A112</w:t>
            </w:r>
          </w:p>
        </w:tc>
        <w:tc>
          <w:tcPr>
            <w:tcW w:w="0" w:type="auto"/>
          </w:tcPr>
          <w:p>
            <w:pPr>
              <w:pStyle w:val="TableText"/>
            </w:pPr>
            <w:r>
              <w:t xml:space="preserve">Closed</w:t>
            </w:r>
          </w:p>
        </w:tc>
      </w:tr>
    </w:tbl>
    <w:p>
      <w:pPr>
        <w:pStyle w:val="Heading1"/>
      </w:pPr>
      <w:r>
        <w:t xml:space="preserve">3 Case documents</w:t>
      </w:r>
    </w:p>
    <w:tbl>
      <w:tblPr>
        <w:tblStyle w:val="DossierTable"/>
        <w:tblW w:w="5000" w:type="pct"/>
      </w:tblPr>
      <w:tr>
        <w:trPr>
          <w:tblHeader/>
        </w:trPr>
        <w:tc>
          <w:tcPr>
            <w:tcW w:w="0" w:type="auto"/>
          </w:tcPr>
          <w:p>
            <w:pPr>
              <w:pStyle w:val="TableText"/>
            </w:pPr>
            <w:r>
              <w:rPr>
                <w:b/>
              </w:rPr>
              <w:t xml:space="preserve">File</w:t>
            </w:r>
          </w:p>
        </w:tc>
        <w:tc>
          <w:tcPr>
            <w:tcW w:w="0" w:type="auto"/>
          </w:tcPr>
          <w:p>
            <w:pPr>
              <w:pStyle w:val="TableText"/>
            </w:pPr>
            <w:r>
              <w:rPr>
                <w:b/>
              </w:rPr>
              <w:t xml:space="preserve">Use</w:t>
            </w:r>
          </w:p>
        </w:tc>
      </w:tr>
      <w:tr>
        <w:tc>
          <w:tcPr>
            <w:tcW w:w="0" w:type="auto"/>
          </w:tcPr>
          <w:p>
            <w:pPr>
              <w:pStyle w:val="TableText"/>
            </w:pPr>
            <w:r>
              <w:t xml:space="preserve">transport-note.txt</w:t>
            </w:r>
          </w:p>
        </w:tc>
        <w:tc>
          <w:tcPr>
            <w:tcW w:w="0" w:type="auto"/>
          </w:tcPr>
          <w:p>
            <w:pPr>
              <w:pStyle w:val="TableText"/>
            </w:pPr>
            <w:r>
              <w:t xml:space="preserve">text inserted into the prompt</w:t>
            </w:r>
          </w:p>
        </w:tc>
      </w:tr>
    </w:tbl>
    <w:p>
      <w:pPr>
        <w:pStyle w:val="Heading1"/>
      </w:pPr>
      <w:r>
        <w:t xml:space="preserve">4 Report text (AI draft)</w:t>
      </w:r>
    </w:p>
    <w:p>
      <w:pPr>
        <w:pStyle w:val="Note"/>
      </w:pPr>
      <w:r>
        <w:t xml:space="preserve">Demo mode: the text below is a prewritten sample answer for the synthetic case SYN-2026-006. It was not produced by Copilot.</w:t>
      </w:r>
    </w:p>
    <w:p>
      <w:pPr>
        <w:pStyle w:val="Heading3"/>
      </w:pPr>
      <w:r>
        <w:t xml:space="preserve">Basic complaint data</w:t>
      </w:r>
    </w:p>
    <w:p>
      <w:pPr>
        <w:ind w:left="360" w:hanging="240"/>
      </w:pPr>
      <w:r>
        <w:t xml:space="preserve">• Case ID: SYN-2026-006</w:t>
      </w:r>
    </w:p>
    <w:p>
      <w:pPr>
        <w:ind w:left="360" w:hanging="240"/>
      </w:pPr>
      <w:r>
        <w:t xml:space="preserve">• External reference: N/A</w:t>
      </w:r>
    </w:p>
    <w:p>
      <w:pPr>
        <w:ind w:left="360" w:hanging="240"/>
      </w:pPr>
      <w:r>
        <w:t xml:space="preserve">• Product group: tablets</w:t>
      </w:r>
    </w:p>
    <w:p>
      <w:pPr>
        <w:ind w:left="360" w:hanging="240"/>
      </w:pPr>
      <w:r>
        <w:t xml:space="preserve">• Batch: SYN-LOT-26A011</w:t>
      </w:r>
    </w:p>
    <w:p>
      <w:pPr>
        <w:ind w:left="360" w:hanging="240"/>
      </w:pPr>
      <w:r>
        <w:t xml:space="preserve">• Defect / complaint category: packaging damage</w:t>
      </w:r>
    </w:p>
    <w:p>
      <w:pPr>
        <w:ind w:left="360" w:hanging="240"/>
      </w:pPr>
      <w:r>
        <w:t xml:space="preserve">• Complaint description: The tablet carton arrived crushed. The shipping box was damaged as well.</w:t>
      </w:r>
    </w:p>
    <w:p>
      <w:pPr>
        <w:ind w:left="360" w:hanging="240"/>
      </w:pPr>
      <w:r>
        <w:t xml:space="preserve">• Severity: minor</w:t>
      </w:r>
    </w:p>
    <w:p>
      <w:pPr>
        <w:ind w:left="360" w:hanging="240"/>
      </w:pPr>
      <w:r>
        <w:t xml:space="preserve">• Source: consumer</w:t>
      </w:r>
    </w:p>
    <w:p>
      <w:pPr>
        <w:ind w:left="360" w:hanging="240"/>
      </w:pPr>
      <w:r>
        <w:t xml:space="preserve">• Transport, storage and use: The shipping box arrived with a crushed corner and a torn tape seal; the carrier confirmed rough handling at the regional hub in week 14.</w:t>
      </w:r>
    </w:p>
    <w:p>
      <w:pPr>
        <w:pStyle w:val="Heading3"/>
      </w:pPr>
      <w:r>
        <w:t xml:space="preserve">1. Technical description and categorisation of the defect</w:t>
      </w:r>
    </w:p>
    <w:p>
      <w:r>
        <w:t xml:space="preserve">In case [SYN-2026-006] the outer carton of a tablet pack was crushed. The defect belongs to the category packaging damage and concerns the secondary packaging. No damage to the blisters or tablets is described.</w:t>
      </w:r>
    </w:p>
    <w:p>
      <w:pPr>
        <w:pStyle w:val="Heading3"/>
      </w:pPr>
      <w:r>
        <w:t xml:space="preserve">2. Statistical and historical classification</w:t>
      </w:r>
    </w:p>
    <w:p>
      <w:r>
        <w:t xml:space="preserve">The reported defect is classified as occasional. One earlier packaging damage complaint for tablets is given, [SYN-2026-001], with a different batch and closed. It does not point to a common cause, and no other complaint for this batch is given.</w:t>
      </w:r>
    </w:p>
    <w:p>
      <w:pPr>
        <w:pStyle w:val="Heading3"/>
      </w:pPr>
      <w:r>
        <w:t xml:space="preserve">3. Assessment of the available information</w:t>
      </w:r>
    </w:p>
    <w:p>
      <w:r>
        <w:t xml:space="preserve">No complaint sample was returned. The transport note documents damage to the shipping box, rough handling confirmed by the carrier and two further damaged parcels from the same tour. The batch record was reviewed and showed no findings. The documents point to transport damage, not to a manufacturing defect.</w:t>
      </w:r>
    </w:p>
    <w:p>
      <w:pPr>
        <w:pStyle w:val="Heading3"/>
      </w:pPr>
      <w:r>
        <w:t xml:space="preserve">4. Conclusion</w:t>
      </w:r>
    </w:p>
    <w:p>
      <w:r>
        <w:t xml:space="preserve">The damage arose during transport and not during manufacturing or packaging. The complaint is classified as not justified.</w:t>
      </w:r>
    </w:p>
    <w:p>
      <w:pPr>
        <w:pStyle w:val="Heading1"/>
      </w:pPr>
      <w:r>
        <w:t xml:space="preserve">5 Automated checks</w:t>
      </w:r>
    </w:p>
    <w:tbl>
      <w:tblPr>
        <w:tblStyle w:val="DossierTable"/>
        <w:tblW w:w="5000" w:type="pct"/>
      </w:tblPr>
      <w:tr>
        <w:trPr>
          <w:tblHeader/>
        </w:trPr>
        <w:tc>
          <w:tcPr>
            <w:tcW w:w="0" w:type="auto"/>
          </w:tcPr>
          <w:p>
            <w:pPr>
              <w:pStyle w:val="TableText"/>
            </w:pPr>
            <w:r>
              <w:rPr>
                <w:b/>
              </w:rPr>
              <w:t xml:space="preserve">Check</w:t>
            </w:r>
          </w:p>
        </w:tc>
        <w:tc>
          <w:tcPr>
            <w:tcW w:w="0" w:type="auto"/>
          </w:tcPr>
          <w:p>
            <w:pPr>
              <w:pStyle w:val="TableText"/>
            </w:pPr>
            <w:r>
              <w:rPr>
                <w:b/>
              </w:rPr>
              <w:t xml:space="preserve">Result</w:t>
            </w:r>
          </w:p>
        </w:tc>
        <w:tc>
          <w:tcPr>
            <w:tcW w:w="0" w:type="auto"/>
          </w:tcPr>
          <w:p>
            <w:pPr>
              <w:pStyle w:val="TableText"/>
            </w:pPr>
            <w:r>
              <w:rPr>
                <w:b/>
              </w:rPr>
              <w:t xml:space="preserve">Detail</w:t>
            </w:r>
          </w:p>
        </w:tc>
      </w:tr>
      <w:tr>
        <w:tc>
          <w:tcPr>
            <w:tcW w:w="0" w:type="auto"/>
          </w:tcPr>
          <w:p>
            <w:pPr>
              <w:pStyle w:val="TableText"/>
            </w:pPr>
            <w:r>
              <w:t xml:space="preserve">Response is not empty</w:t>
            </w:r>
          </w:p>
        </w:tc>
        <w:tc>
          <w:tcPr>
            <w:tcW w:w="0" w:type="auto"/>
          </w:tcPr>
          <w:p>
            <w:pPr>
              <w:pStyle w:val="TableText"/>
            </w:pPr>
            <w:r>
              <w:t xml:space="preserve">pass</w:t>
            </w:r>
          </w:p>
        </w:tc>
        <w:tc>
          <w:tcPr>
            <w:tcW w:w="0" w:type="auto"/>
          </w:tcPr>
          <w:p>
            <w:pPr>
              <w:pStyle w:val="TableText"/>
            </w:pPr>
            <w:r>
              <w:t xml:space="preserve">1726 characters</w:t>
            </w:r>
          </w:p>
        </w:tc>
      </w:tr>
      <w:tr>
        <w:tc>
          <w:tcPr>
            <w:tcW w:w="0" w:type="auto"/>
          </w:tcPr>
          <w:p>
            <w:pPr>
              <w:pStyle w:val="TableText"/>
            </w:pPr>
            <w:r>
              <w:t xml:space="preserve">Response is not a copy of the prompt</w:t>
            </w:r>
          </w:p>
        </w:tc>
        <w:tc>
          <w:tcPr>
            <w:tcW w:w="0" w:type="auto"/>
          </w:tcPr>
          <w:p>
            <w:pPr>
              <w:pStyle w:val="TableText"/>
            </w:pPr>
            <w:r>
              <w:t xml:space="preserve">pass</w:t>
            </w:r>
          </w:p>
        </w:tc>
        <w:tc>
          <w:tcPr>
            <w:tcW w:w="0" w:type="auto"/>
          </w:tcPr>
          <w:p>
            <w:pPr>
              <w:pStyle w:val="TableText"/>
            </w:pPr>
            <w:r>
              <w:t xml:space="preserve"/>
            </w:r>
          </w:p>
        </w:tc>
      </w:tr>
      <w:tr>
        <w:tc>
          <w:tcPr>
            <w:tcW w:w="0" w:type="auto"/>
          </w:tcPr>
          <w:p>
            <w:pPr>
              <w:pStyle w:val="TableText"/>
            </w:pPr>
            <w:r>
              <w:t xml:space="preserve">Required sections present</w:t>
            </w:r>
          </w:p>
        </w:tc>
        <w:tc>
          <w:tcPr>
            <w:tcW w:w="0" w:type="auto"/>
          </w:tcPr>
          <w:p>
            <w:pPr>
              <w:pStyle w:val="TableText"/>
            </w:pPr>
            <w:r>
              <w:t xml:space="preserve">pass</w:t>
            </w:r>
          </w:p>
        </w:tc>
        <w:tc>
          <w:tcPr>
            <w:tcW w:w="0" w:type="auto"/>
          </w:tcPr>
          <w:p>
            <w:pPr>
              <w:pStyle w:val="TableText"/>
            </w:pPr>
            <w:r>
              <w:t xml:space="preserve">all present</w:t>
            </w:r>
          </w:p>
        </w:tc>
      </w:tr>
      <w:tr>
        <w:tc>
          <w:tcPr>
            <w:tcW w:w="0" w:type="auto"/>
          </w:tcPr>
          <w:p>
            <w:pPr>
              <w:pStyle w:val="TableText"/>
            </w:pPr>
            <w:r>
              <w:t xml:space="preserve">Report cites its own case ID</w:t>
            </w:r>
          </w:p>
        </w:tc>
        <w:tc>
          <w:tcPr>
            <w:tcW w:w="0" w:type="auto"/>
          </w:tcPr>
          <w:p>
            <w:pPr>
              <w:pStyle w:val="TableText"/>
            </w:pPr>
            <w:r>
              <w:t xml:space="preserve">pass</w:t>
            </w:r>
          </w:p>
        </w:tc>
        <w:tc>
          <w:tcPr>
            <w:tcW w:w="0" w:type="auto"/>
          </w:tcPr>
          <w:p>
            <w:pPr>
              <w:pStyle w:val="TableText"/>
            </w:pPr>
            <w:r>
              <w:t xml:space="preserve">[SYN-2026-006] cited</w:t>
            </w:r>
          </w:p>
        </w:tc>
      </w:tr>
      <w:tr>
        <w:tc>
          <w:tcPr>
            <w:tcW w:w="0" w:type="auto"/>
          </w:tcPr>
          <w:p>
            <w:pPr>
              <w:pStyle w:val="TableText"/>
            </w:pPr>
            <w:r>
              <w:t xml:space="preserve">Cited case IDs exist</w:t>
            </w:r>
          </w:p>
        </w:tc>
        <w:tc>
          <w:tcPr>
            <w:tcW w:w="0" w:type="auto"/>
          </w:tcPr>
          <w:p>
            <w:pPr>
              <w:pStyle w:val="TableText"/>
            </w:pPr>
            <w:r>
              <w:t xml:space="preserve">pass</w:t>
            </w:r>
          </w:p>
        </w:tc>
        <w:tc>
          <w:tcPr>
            <w:tcW w:w="0" w:type="auto"/>
          </w:tcPr>
          <w:p>
            <w:pPr>
              <w:pStyle w:val="TableText"/>
            </w:pPr>
            <w:r>
              <w:t xml:space="preserve">2 case IDs cited, all in the complaint list</w:t>
            </w:r>
          </w:p>
        </w:tc>
      </w:tr>
      <w:tr>
        <w:tc>
          <w:tcPr>
            <w:tcW w:w="0" w:type="auto"/>
          </w:tcPr>
          <w:p>
            <w:pPr>
              <w:pStyle w:val="TableText"/>
            </w:pPr>
            <w:r>
              <w:t xml:space="preserve">Required statements present</w:t>
            </w:r>
          </w:p>
        </w:tc>
        <w:tc>
          <w:tcPr>
            <w:tcW w:w="0" w:type="auto"/>
          </w:tcPr>
          <w:p>
            <w:pPr>
              <w:pStyle w:val="TableText"/>
            </w:pPr>
            <w:r>
              <w:t xml:space="preserve">pass</w:t>
            </w:r>
          </w:p>
        </w:tc>
        <w:tc>
          <w:tcPr>
            <w:tcW w:w="0" w:type="auto"/>
          </w:tcPr>
          <w:p>
            <w:pPr>
              <w:pStyle w:val="TableText"/>
            </w:pPr>
            <w:r>
              <w:t xml:space="preserve">present: The reported defect is classified as occasional.</w:t>
            </w:r>
          </w:p>
        </w:tc>
      </w:tr>
    </w:tbl>
    <w:p>
      <w:pPr>
        <w:pStyle w:val="Heading1"/>
      </w:pPr>
      <w:r>
        <w:t xml:space="preserve">6 Review and approval</w:t>
      </w:r>
    </w:p>
    <w:p>
      <w:r>
        <w:t xml:space="preserve">This report is a draft until a reviewer has checked every statement in section 4 against the case file of SYN-2026-006 and approves it with Approve-ComplaintDossier.ps1. The approval (typed reviewer name and time) and the file hashes are recorded in the audit.json of this report. A typed name is not an electronic signature.</w:t>
      </w:r>
    </w:p>
    <w:p>
      <w:r>
        <w:t xml:space="preserve">Approval is refused while an automated check in section 5 has failed. A reviewer can accept failed checks only by giving a written justification, which is printed here and stored in audit.json as a documented exception.</w:t>
      </w:r>
    </w:p>
    <w:p>
      <w:r>
        <w:t xml:space="preserve">Status: DRAFT (awaiting human review)</w:t>
      </w:r>
    </w:p>
    <w:p>
      <w:r>
        <w:t xml:space="preserve">Approved by: (not approved)</w:t>
      </w:r>
    </w:p>
    <w:p>
      <w:r>
        <w:t xml:space="preserve">Approved at (UTC): (not approved)</w:t>
      </w:r>
    </w:p>
    <w:p>
      <w:r>
        <w:t xml:space="preserve">Review comment: (none)</w:t>
      </w:r>
    </w:p>
    <w:p>
      <w:r>
        <w:t xml:space="preserve">Accepted check failures: (not approved)</w:t>
      </w:r>
    </w:p>
    <w:sectPr>
      <w:headerReference w:type="default" r:id="rId2"/>
      <w:footerReference w:type="default" r:id="rId3"/>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jc w:val="right"/>
    </w:pPr>
    <w:r>
      <w:rPr>
        <w:sz w:val="16"/>
        <w:color w:val="7F7F7F"/>
      </w:rPr>
      <w:t xml:space="preserve">Complaint Dossier - page </w:t>
    </w:r>
    <w:r>
      <w:rPr>
        <w:sz w:val="16"/>
        <w:color w:val="7F7F7F"/>
      </w:rPr>
      <w:fldChar w:fldCharType="begin"/>
    </w:r>
    <w:r>
      <w:rPr>
        <w:sz w:val="16"/>
        <w:color w:val="7F7F7F"/>
      </w:rPr>
      <w:instrText xml:space="preserve"> PAGE </w:instrText>
    </w:r>
    <w:r>
      <w:rPr>
        <w:sz w:val="16"/>
        <w:color w:val="7F7F7F"/>
      </w:rPr>
      <w:fldChar w:fldCharType="separate"/>
    </w:r>
    <w:r>
      <w:rPr>
        <w:sz w:val="16"/>
        <w:color w:val="7F7F7F"/>
      </w:rPr>
      <w:t>1</w:t>
    </w:r>
    <w:r>
      <w:rPr>
        <w:sz w:val="16"/>
        <w:color w:val="7F7F7F"/>
      </w:rPr>
      <w:fldChar w:fldCharType="end"/>
    </w:r>
  </w:p>
</w:ftr>
</file>

<file path=word/header1.xml><?xml version="1.0" encoding="utf-8"?>
<w:hdr xmlns:w="http://schemas.openxmlformats.org/wordprocessingml/2006/main" xmlns:r="http://schemas.openxmlformats.org/officeDocument/2006/relationships">
  <w:p>
    <w:r>
      <w:rPr>
        <w:b/>
        <w:color w:val="C00000"/>
      </w:rPr>
      <w:t xml:space="preserve">DRAFT - NOT REVIEWED - NOT FOR USE</w:t>
    </w:r>
  </w:p>
</w:hdr>
</file>

<file path=word/styles.xml><?xml version="1.0" encoding="utf-8"?>
<w:styles xmlns:w="http://schemas.openxmlformats.org/wordprocessingml/2006/main" xmlns:r="http://schemas.openxmlformats.org/officeDocument/2006/relationships">
  <w:docDefaults>
    <w:rPrDefault>
      <w:rPr>
        <w:rFonts w:ascii="Calibri" w:hAnsi="Calibri" w:cs="Calibri"/>
        <w:sz w:val="20"/>
        <w:lang w:val="en-GB"/>
      </w:rPr>
    </w:rPrDefault>
    <w:pPrDefault>
      <w:pPr>
        <w:spacing w:after="80" w:line="264" w:lineRule="auto"/>
      </w:pPr>
    </w:pPrDefault>
  </w:docDefaults>
  <w:style w:type="paragraph" w:default="1" w:styleId="Normal">
    <w:name w:val="Normal"/>
  </w:style>
  <w:style w:type="paragraph" w:styleId="Title">
    <w:name w:val="Title"/>
    <w:basedOn w:val="Normal"/>
    <w:pPr>
      <w:spacing w:before="120" w:after="200"/>
    </w:pPr>
    <w:rPr>
      <w:b/>
      <w:color w:val="1F3864"/>
      <w:sz w:val="40"/>
    </w:rPr>
  </w:style>
  <w:style w:type="paragraph" w:styleId="Heading1">
    <w:name w:val="heading 1"/>
    <w:basedOn w:val="Normal"/>
    <w:pPr>
      <w:keepNext/>
      <w:spacing w:before="280" w:after="100"/>
      <w:outlineLvl w:val="0"/>
    </w:pPr>
    <w:rPr>
      <w:b/>
      <w:color w:val="1F3864"/>
      <w:sz w:val="28"/>
    </w:rPr>
  </w:style>
  <w:style w:type="paragraph" w:styleId="Heading2">
    <w:name w:val="heading 2"/>
    <w:basedOn w:val="Normal"/>
    <w:pPr>
      <w:keepNext/>
      <w:spacing w:before="180" w:after="80"/>
      <w:outlineLvl w:val="1"/>
    </w:pPr>
    <w:rPr>
      <w:b/>
      <w:color w:val="2F5496"/>
      <w:sz w:val="23"/>
    </w:rPr>
  </w:style>
  <w:style w:type="paragraph" w:styleId="Heading3">
    <w:name w:val="heading 3"/>
    <w:basedOn w:val="Normal"/>
    <w:pPr>
      <w:keepNext/>
      <w:spacing w:before="160" w:after="60"/>
      <w:outlineLvl w:val="2"/>
    </w:pPr>
    <w:rPr>
      <w:b/>
      <w:sz w:val="21"/>
    </w:rPr>
  </w:style>
  <w:style w:type="paragraph" w:styleId="Heading4">
    <w:name w:val="heading 4"/>
    <w:basedOn w:val="Normal"/>
    <w:pPr>
      <w:keepNext/>
      <w:spacing w:before="120" w:after="40"/>
      <w:outlineLvl w:val="3"/>
    </w:pPr>
    <w:rPr>
      <w:b/>
      <w:i/>
    </w:rPr>
  </w:style>
  <w:style w:type="paragraph" w:styleId="Note">
    <w:name w:val="Note"/>
    <w:basedOn w:val="Normal"/>
    <w:rPr>
      <w:i/>
      <w:color w:val="595959"/>
    </w:rPr>
  </w:style>
  <w:style w:type="paragraph" w:styleId="TableText">
    <w:name w:val="Table Text"/>
    <w:basedOn w:val="Normal"/>
    <w:pPr>
      <w:spacing w:after="0"/>
    </w:pPr>
    <w:rPr>
      <w:sz w:val="17"/>
    </w:rPr>
  </w:style>
  <w:style w:type="table" w:styleId="DossierTable">
    <w:name w:val="Dossier Table"/>
    <w:tblPr>
      <w:tblBorders>
        <w:top w:val="single" w:sz="4" w:color="A6A6A6"/>
        <w:left w:val="single" w:sz="4" w:color="A6A6A6"/>
        <w:bottom w:val="single" w:sz="4" w:color="A6A6A6"/>
        <w:right w:val="single" w:sz="4" w:color="A6A6A6"/>
        <w:insideH w:val="single" w:sz="4" w:color="A6A6A6"/>
        <w:insideV w:val="single" w:sz="4" w:color="A6A6A6"/>
      </w:tblBorders>
      <w:tblCellMar>
        <w:left w:w="80" w:type="dxa"/>
        <w:right w:w="8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

<file path=docProps/core.xml><?xml version="1.0" encoding="utf-8"?>
<cp:coreProperties xmlns:cp="http://schemas.openxmlformats.org/package/2006/metadata/core-properties" xmlns:dc="http://purl.org/dc/elements/1.1/">
  <dc:title>Complaint Dossier report</dc:title>
  <dc:creator>Complaint Dossier</dc:creator>
</cp:coreProperties>
</file>