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Complaint report SYN-2026-006</w:t>
      </w:r>
    </w:p>
    <w:p>
      <w:pPr>
        <w:pStyle w:val="Note"/>
      </w:pPr>
      <w:r>
        <w:t xml:space="preserve">Short report. The sections "Basic complaint data" and 1 to 4 were drafted by AI from the complaint list and the case file. Check every statement against the case file before release.</w:t>
      </w:r>
    </w:p>
    <w:p>
      <w:pPr>
        <w:pStyle w:val="Heading1"/>
      </w:pPr>
      <w:r>
        <w:t xml:space="preserve">Complaint data (from the complaint list)</w:t>
      </w:r>
    </w:p>
    <w:tbl>
      <w:tblPr>
        <w:tblStyle w:val="FormTable"/>
        <w:tblW w:w="9638" w:type="dxa"/>
        <w:tblLayout w:type="fixed"/>
      </w:tblPr>
      <w:tblGrid>
        <w:gridCol w:w="3000"/>
        <w:gridCol w:w="6638"/>
      </w:tblGrid>
      <w:tr>
        <w:tc>
          <w:tcPr>
            <w:tcW w:w="3000" w:type="dxa"/>
            <w:shd w:val="clear" w:color="auto" w:fill="EDF2F8"/>
          </w:tcPr>
          <w:p>
            <w:pPr>
              <w:pStyle w:val="TableLabel"/>
            </w:pPr>
            <w:r>
              <w:t xml:space="preserve">Complaint number</w:t>
            </w:r>
          </w:p>
        </w:tc>
        <w:tc>
          <w:tcPr>
            <w:tcW w:w="6638" w:type="dxa"/>
          </w:tcPr>
          <w:p>
            <w:pPr>
              <w:pStyle w:val="TableValue"/>
            </w:pPr>
            <w:r>
              <w:t xml:space="preserve">SYN-2026-006</w:t>
            </w:r>
          </w:p>
        </w:tc>
      </w:tr>
      <w:tr>
        <w:tc>
          <w:tcPr>
            <w:tcW w:w="3000" w:type="dxa"/>
            <w:shd w:val="clear" w:color="auto" w:fill="EDF2F8"/>
          </w:tcPr>
          <w:p>
            <w:pPr>
              <w:pStyle w:val="TableLabel"/>
            </w:pPr>
            <w:r>
              <w:t xml:space="preserve">Date received</w:t>
            </w:r>
          </w:p>
        </w:tc>
        <w:tc>
          <w:tcPr>
            <w:tcW w:w="6638" w:type="dxa"/>
          </w:tcPr>
          <w:p>
            <w:pPr>
              <w:pStyle w:val="TableValue"/>
            </w:pPr>
            <w:r>
              <w:t xml:space="preserve">08.04.2026</w:t>
            </w:r>
            <w:proofErr w:type="spellStart"/>
            <w:r>
              <w:t xml:space="preserve"/>
            </w:r>
            <w:proofErr w:type="spellEnd"/>
          </w:p>
        </w:tc>
      </w:tr>
      <w:tr>
        <w:tc>
          <w:tcPr>
            <w:tcW w:w="3000" w:type="dxa"/>
            <w:shd w:val="clear" w:color="auto" w:fill="EDF2F8"/>
          </w:tcPr>
          <w:p>
            <w:pPr>
              <w:pStyle w:val="TableLabel"/>
            </w:pPr>
            <w:r>
              <w:t xml:space="preserve">Product</w:t>
            </w:r>
          </w:p>
        </w:tc>
        <w:tc>
          <w:tcPr>
            <w:tcW w:w="6638" w:type="dxa"/>
          </w:tcPr>
          <w:p>
            <w:pPr>
              <w:pStyle w:val="TableValue"/>
            </w:pPr>
            <w:r>
              <w:t xml:space="preserve">SYN Tablets 50 mg</w:t>
            </w:r>
          </w:p>
        </w:tc>
      </w:tr>
      <w:tr>
        <w:tc>
          <w:tcPr>
            <w:tcW w:w="3000" w:type="dxa"/>
            <w:shd w:val="clear" w:color="auto" w:fill="EDF2F8"/>
          </w:tcPr>
          <w:p>
            <w:pPr>
              <w:pStyle w:val="TableLabel"/>
            </w:pPr>
            <w:r>
              <w:t xml:space="preserve">Product group</w:t>
            </w:r>
          </w:p>
        </w:tc>
        <w:tc>
          <w:tcPr>
            <w:tcW w:w="6638" w:type="dxa"/>
          </w:tcPr>
          <w:p>
            <w:pPr>
              <w:pStyle w:val="TableValue"/>
            </w:pPr>
            <w:r>
              <w:t xml:space="preserve">Tablets</w:t>
            </w:r>
          </w:p>
        </w:tc>
      </w:tr>
      <w:tr>
        <w:tc>
          <w:tcPr>
            <w:tcW w:w="3000" w:type="dxa"/>
            <w:shd w:val="clear" w:color="auto" w:fill="EDF2F8"/>
          </w:tcPr>
          <w:p>
            <w:pPr>
              <w:pStyle w:val="TableLabel"/>
            </w:pPr>
            <w:r>
              <w:t xml:space="preserve">Batch</w:t>
            </w:r>
          </w:p>
        </w:tc>
        <w:tc>
          <w:tcPr>
            <w:tcW w:w="6638" w:type="dxa"/>
          </w:tcPr>
          <w:p>
            <w:pPr>
              <w:pStyle w:val="TableValue"/>
            </w:pPr>
            <w:r>
              <w:t xml:space="preserve">SYN-LOT-26A011</w:t>
            </w:r>
          </w:p>
        </w:tc>
      </w:tr>
      <w:tr>
        <w:tc>
          <w:tcPr>
            <w:tcW w:w="3000" w:type="dxa"/>
            <w:shd w:val="clear" w:color="auto" w:fill="EDF2F8"/>
          </w:tcPr>
          <w:p>
            <w:pPr>
              <w:pStyle w:val="TableLabel"/>
            </w:pPr>
            <w:r>
              <w:t xml:space="preserve">Defect category</w:t>
            </w:r>
          </w:p>
        </w:tc>
        <w:tc>
          <w:tcPr>
            <w:tcW w:w="6638" w:type="dxa"/>
          </w:tcPr>
          <w:p>
            <w:pPr>
              <w:pStyle w:val="TableValue"/>
            </w:pPr>
            <w:r>
              <w:t xml:space="preserve">Packaging damage</w:t>
            </w:r>
          </w:p>
        </w:tc>
      </w:tr>
      <w:tr>
        <w:tc>
          <w:tcPr>
            <w:tcW w:w="3000" w:type="dxa"/>
            <w:shd w:val="clear" w:color="auto" w:fill="EDF2F8"/>
          </w:tcPr>
          <w:p>
            <w:pPr>
              <w:pStyle w:val="TableLabel"/>
            </w:pPr>
            <w:r>
              <w:t xml:space="preserve">Severity</w:t>
            </w:r>
          </w:p>
        </w:tc>
        <w:tc>
          <w:tcPr>
            <w:tcW w:w="6638" w:type="dxa"/>
          </w:tcPr>
          <w:p>
            <w:pPr>
              <w:pStyle w:val="TableValue"/>
            </w:pPr>
            <w:r>
              <w:t xml:space="preserve">Minor</w:t>
            </w:r>
          </w:p>
        </w:tc>
      </w:tr>
      <w:tr>
        <w:tc>
          <w:tcPr>
            <w:tcW w:w="3000" w:type="dxa"/>
            <w:shd w:val="clear" w:color="auto" w:fill="EDF2F8"/>
          </w:tcPr>
          <w:p>
            <w:pPr>
              <w:pStyle w:val="TableLabel"/>
            </w:pPr>
            <w:r>
              <w:t xml:space="preserve">Returned sample received</w:t>
            </w:r>
          </w:p>
        </w:tc>
        <w:tc>
          <w:tcPr>
            <w:tcW w:w="6638" w:type="dxa"/>
          </w:tcPr>
          <w:p>
            <w:pPr>
              <w:pStyle w:val="TableValue"/>
            </w:pPr>
            <w:r>
              <w:t xml:space="preserve">No</w:t>
            </w:r>
          </w:p>
        </w:tc>
      </w:tr>
      <w:tr>
        <w:tc>
          <w:tcPr>
            <w:tcW w:w="3000" w:type="dxa"/>
            <w:shd w:val="clear" w:color="auto" w:fill="EDF2F8"/>
          </w:tcPr>
          <w:p>
            <w:pPr>
              <w:pStyle w:val="TableLabel"/>
            </w:pPr>
            <w:r>
              <w:t xml:space="preserve">Description from the complaint list</w:t>
            </w:r>
          </w:p>
        </w:tc>
        <w:tc>
          <w:tcPr>
            <w:tcW w:w="6638" w:type="dxa"/>
          </w:tcPr>
          <w:p>
            <w:pPr>
              <w:pStyle w:val="TableValue"/>
            </w:pPr>
            <w:r>
              <w:t xml:space="preserve">Carton crushed in transport. The shipping box was also damaged.</w:t>
            </w:r>
          </w:p>
        </w:tc>
      </w:tr>
    </w:tbl>
    <w:p>
      <w:pPr>
        <w:pStyle w:val="Heading1"/>
      </w:pPr>
      <w:r>
        <w:t xml:space="preserve">Basic complaint data</w:t>
      </w:r>
    </w:p>
    <w:p>
      <w:pPr>
        <w:pStyle w:val="ListBullet"/>
      </w:pPr>
      <w:r>
        <w:t xml:space="preserve">Case ID: SYN-2026-006</w:t>
      </w:r>
    </w:p>
    <w:p>
      <w:pPr>
        <w:pStyle w:val="ListBullet"/>
      </w:pPr>
      <w:r>
        <w:t xml:space="preserve">External reference: N/A</w:t>
      </w:r>
    </w:p>
    <w:p>
      <w:pPr>
        <w:pStyle w:val="ListBullet"/>
      </w:pPr>
      <w:r>
        <w:t xml:space="preserve">Product group: tablets</w:t>
      </w:r>
    </w:p>
    <w:p>
      <w:pPr>
        <w:pStyle w:val="ListBullet"/>
      </w:pPr>
      <w:r>
        <w:t xml:space="preserve">Batch: SYN-LOT-26A011</w:t>
      </w:r>
    </w:p>
    <w:p>
      <w:pPr>
        <w:pStyle w:val="ListBullet"/>
      </w:pPr>
      <w:r>
        <w:t xml:space="preserve">Defect / complaint category: packaging damage</w:t>
      </w:r>
    </w:p>
    <w:p>
      <w:pPr>
        <w:pStyle w:val="ListBullet"/>
      </w:pPr>
      <w:r>
        <w:t xml:space="preserve">Complaint description: The tablet carton arrived crushed. The shipping box was damaged as well.</w:t>
      </w:r>
    </w:p>
    <w:p>
      <w:pPr>
        <w:pStyle w:val="ListBullet"/>
      </w:pPr>
      <w:r>
        <w:t xml:space="preserve">Severity: minor</w:t>
      </w:r>
    </w:p>
    <w:p>
      <w:pPr>
        <w:pStyle w:val="ListBullet"/>
      </w:pPr>
      <w:r>
        <w:t xml:space="preserve">Source: consumer</w:t>
      </w:r>
    </w:p>
    <w:p>
      <w:pPr>
        <w:pStyle w:val="ListBullet"/>
      </w:pPr>
      <w:r>
        <w:t xml:space="preserve">Transport, storage and use: The shipping box arrived with a crushed corner and a torn tape seal; the carrier confirmed rough handling at the regional hub in week 14.</w:t>
      </w:r>
    </w:p>
    <w:p>
      <w:pPr>
        <w:pStyle w:val="Heading1"/>
      </w:pPr>
      <w:r>
        <w:t xml:space="preserve">1. Technical description and categorisation of the defect</w:t>
      </w:r>
    </w:p>
    <w:p>
      <w:r>
        <w:t xml:space="preserve">In case [SYN-2026-006] the outer carton of a tablet pack was crushed. The defect belongs to the category packaging damage and concerns the secondary packaging. No damage to the blisters or tablets is described.</w:t>
      </w:r>
    </w:p>
    <w:p>
      <w:pPr>
        <w:pStyle w:val="Heading1"/>
      </w:pPr>
      <w:r>
        <w:t xml:space="preserve">2. Statistical and historical classification</w:t>
      </w:r>
    </w:p>
    <w:p>
      <w:r>
        <w:t xml:space="preserve">The reported defect is classified as occasional. One earlier packaging damage complaint for tablets is given, [SYN-2026-001], with a different batch and closed. It does not point to a common cause, and no other complaint for this batch is given.</w:t>
      </w:r>
    </w:p>
    <w:p>
      <w:pPr>
        <w:pStyle w:val="Heading1"/>
      </w:pPr>
      <w:r>
        <w:t xml:space="preserve">3. Assessment of the available information</w:t>
      </w:r>
    </w:p>
    <w:p>
      <w:r>
        <w:t xml:space="preserve">No complaint sample was returned. The transport note documents damage to the shipping box, rough handling confirmed by the carrier and two further damaged parcels from the same tour. The batch record was reviewed and showed no findings. The documents point to transport damage, not to a manufacturing defect.</w:t>
      </w:r>
    </w:p>
    <w:p>
      <w:pPr>
        <w:pStyle w:val="Heading1"/>
      </w:pPr>
      <w:r>
        <w:t xml:space="preserve">4. Conclusion</w:t>
      </w:r>
    </w:p>
    <w:p>
      <w:r>
        <w:t xml:space="preserve">The damage arose during transport and not during manufacturing or packaging. The complaint is classified as not justified.</w:t>
      </w:r>
    </w:p>
    <w:p>
      <w:pPr>
        <w:pStyle w:val="Heading1"/>
      </w:pPr>
      <w:r>
        <w:t xml:space="preserve">Review and release</w:t>
      </w:r>
    </w:p>
    <w:p>
      <w:pPr>
        <w:pStyle w:val="Note"/>
      </w:pPr>
      <w:r>
        <w:t xml:space="preserve">Filled in by the reviewer. Replace this block with the release step your quality system requires.</w:t>
      </w:r>
    </w:p>
    <w:tbl>
      <w:tblPr>
        <w:tblStyle w:val="FormTable"/>
        <w:tblW w:w="9638" w:type="dxa"/>
        <w:tblLayout w:type="fixed"/>
      </w:tblPr>
      <w:tblGrid>
        <w:gridCol w:w="3000"/>
        <w:gridCol w:w="6638"/>
      </w:tblGrid>
      <w:tr>
        <w:tc>
          <w:tcPr>
            <w:tcW w:w="3000" w:type="dxa"/>
            <w:shd w:val="clear" w:color="auto" w:fill="EDF2F8"/>
          </w:tcPr>
          <w:p>
            <w:pPr>
              <w:pStyle w:val="TableLabel"/>
            </w:pPr>
            <w:r>
              <w:t xml:space="preserve">Checked against the case file by</w:t>
            </w:r>
          </w:p>
        </w:tc>
        <w:tc>
          <w:tcPr>
            <w:tcW w:w="6638" w:type="dxa"/>
          </w:tcPr>
          <w:p>
            <w:pPr>
              <w:pStyle w:val="TableValue"/>
            </w:pPr>
            <w:r>
              <w:t xml:space="preserve"/>
            </w:r>
          </w:p>
        </w:tc>
      </w:tr>
      <w:tr>
        <w:tc>
          <w:tcPr>
            <w:tcW w:w="3000" w:type="dxa"/>
            <w:shd w:val="clear" w:color="auto" w:fill="EDF2F8"/>
          </w:tcPr>
          <w:p>
            <w:pPr>
              <w:pStyle w:val="TableLabel"/>
            </w:pPr>
            <w:r>
              <w:t xml:space="preserve">Date</w:t>
            </w:r>
          </w:p>
        </w:tc>
        <w:tc>
          <w:tcPr>
            <w:tcW w:w="6638" w:type="dxa"/>
          </w:tcPr>
          <w:p>
            <w:pPr>
              <w:pStyle w:val="TableValue"/>
            </w:pPr>
            <w:r>
              <w:t xml:space="preserve"/>
            </w:r>
          </w:p>
        </w:tc>
      </w:tr>
      <w:tr>
        <w:tc>
          <w:tcPr>
            <w:tcW w:w="3000" w:type="dxa"/>
            <w:shd w:val="clear" w:color="auto" w:fill="EDF2F8"/>
          </w:tcPr>
          <w:p>
            <w:pPr>
              <w:pStyle w:val="TableLabel"/>
            </w:pPr>
            <w:r>
              <w:t xml:space="preserve">Changes made during review</w:t>
            </w:r>
          </w:p>
        </w:tc>
        <w:tc>
          <w:tcPr>
            <w:tcW w:w="6638" w:type="dxa"/>
          </w:tcPr>
          <w:p>
            <w:pPr>
              <w:pStyle w:val="TableValue"/>
            </w:pPr>
            <w:r>
              <w:t xml:space="preserve"/>
            </w:r>
          </w:p>
        </w:tc>
      </w:tr>
      <w:tr>
        <w:tc>
          <w:tcPr>
            <w:tcW w:w="3000" w:type="dxa"/>
            <w:shd w:val="clear" w:color="auto" w:fill="EDF2F8"/>
          </w:tcPr>
          <w:p>
            <w:pPr>
              <w:pStyle w:val="TableLabel"/>
            </w:pPr>
            <w:r>
              <w:t xml:space="preserve">Released for the complaint record (yes/no)</w:t>
            </w:r>
          </w:p>
        </w:tc>
        <w:tc>
          <w:tcPr>
            <w:tcW w:w="6638" w:type="dxa"/>
          </w:tcPr>
          <w:p>
            <w:pPr>
              <w:pStyle w:val="TableValue"/>
            </w:pPr>
            <w:r>
              <w:t xml:space="preserve"/>
            </w:r>
          </w:p>
        </w:tc>
      </w:tr>
      <w:tr>
        <w:tc>
          <w:tcPr>
            <w:tcW w:w="3000" w:type="dxa"/>
            <w:shd w:val="clear" w:color="auto" w:fill="EDF2F8"/>
          </w:tcPr>
          <w:p>
            <w:pPr>
              <w:pStyle w:val="TableLabel"/>
            </w:pPr>
            <w:r>
              <w:t xml:space="preserve">Signature</w:t>
            </w:r>
          </w:p>
        </w:tc>
        <w:tc>
          <w:tcPr>
            <w:tcW w:w="6638" w:type="dxa"/>
          </w:tcPr>
          <w:p>
            <w:pPr>
              <w:pStyle w:val="TableValue"/>
            </w:pPr>
            <w:r>
              <w:t xml:space="preserve"/>
            </w:r>
          </w:p>
        </w:tc>
      </w:tr>
    </w:tbl>
    <w:p>
      <w:pPr>
        <w:pStyle w:val="Heading1"/>
      </w:pPr>
      <w:r>
        <w:t xml:space="preserve">For the reviewer: automated checks</w:t>
      </w:r>
    </w:p>
    <w:p>
      <w:r>
        <w:t xml:space="preserve">All 6 automated checks passed.</w:t>
      </w:r>
    </w:p>
    <w:p>
      <w:pPr>
        <w:pStyle w:val="ListBullet"/>
      </w:pPr>
      <w:r>
        <w:rPr>
          <w:b/>
        </w:rPr>
        <w:t xml:space="preserve">passed</w:t>
      </w:r>
      <w:r>
        <w:t xml:space="preserve">: Answer is not empty (1726 characters)</w:t>
      </w:r>
    </w:p>
    <w:p>
      <w:pPr>
        <w:pStyle w:val="ListBullet"/>
      </w:pPr>
      <w:r>
        <w:rPr>
          <w:b/>
        </w:rPr>
        <w:t xml:space="preserve">passed</w:t>
      </w:r>
      <w:r>
        <w:t xml:space="preserve">: Answer is not a copy of the prompt</w:t>
      </w:r>
    </w:p>
    <w:p>
      <w:pPr>
        <w:pStyle w:val="ListBullet"/>
      </w:pPr>
      <w:r>
        <w:rPr>
          <w:b/>
        </w:rPr>
        <w:t xml:space="preserve">passed</w:t>
      </w:r>
      <w:r>
        <w:t xml:space="preserve">: All required sections present (all present)</w:t>
      </w:r>
    </w:p>
    <w:p>
      <w:pPr>
        <w:pStyle w:val="ListBullet"/>
      </w:pPr>
      <w:r>
        <w:rPr>
          <w:b/>
        </w:rPr>
        <w:t xml:space="preserve">passed</w:t>
      </w:r>
      <w:r>
        <w:t xml:space="preserve">: Report names its own complaint number ([SYN-2026-006] cited)</w:t>
      </w:r>
    </w:p>
    <w:p>
      <w:pPr>
        <w:pStyle w:val="ListBullet"/>
      </w:pPr>
      <w:r>
        <w:rPr>
          <w:b/>
        </w:rPr>
        <w:t xml:space="preserve">passed</w:t>
      </w:r>
      <w:r>
        <w:t xml:space="preserve">: Cited complaint numbers exist in the list (2 case IDs cited, all in the complaint list)</w:t>
      </w:r>
    </w:p>
    <w:p>
      <w:pPr>
        <w:pStyle w:val="ListBullet"/>
      </w:pPr>
      <w:r>
        <w:rPr>
          <w:b/>
        </w:rPr>
        <w:t xml:space="preserve">passed</w:t>
      </w:r>
      <w:r>
        <w:t xml:space="preserve">: Required sentences present (present: The reported defect is classified as occasional.)</w:t>
      </w:r>
    </w:p>
    <w:p>
      <w:r>
        <w:t xml:space="preserve">The checks look at the form of the AI text: sections, case numbers, required sentences. They do not check whether its content is correct. That is the review.</w:t>
      </w:r>
    </w:p>
    <w:p>
      <w:pPr>
        <w:pStyle w:val="Heading2"/>
      </w:pPr>
      <w:r>
        <w:t xml:space="preserve">Similar complaints computed by the tool</w:t>
      </w:r>
    </w:p>
    <w:p>
      <w:pPr>
        <w:pStyle w:val="ListBullet"/>
      </w:pPr>
      <w:r>
        <w:t xml:space="preserve">Same batch: no other case in the complaint list has batch SYN-LOT-26A011.</w:t>
      </w:r>
    </w:p>
    <w:p>
      <w:pPr>
        <w:pStyle w:val="ListBullet"/>
      </w:pPr>
      <w:r>
        <w:t xml:space="preserve">Same product group and category (Tablets, Packaging damage): 1 other case received from 2025-04-09 to 2026-04-08, the 12 months up to this case; none of them in the last 30 days.</w:t>
      </w:r>
    </w:p>
    <w:p>
      <w:pPr>
        <w:pStyle w:val="ListBullet"/>
      </w:pPr>
      <w:r>
        <w:t xml:space="preserve">Frequency level: occasional (from the number of other cases with the same product group and category in these 12 months).</w:t>
      </w:r>
    </w:p>
    <w:p>
      <w:pPr>
        <w:pStyle w:val="ListBullet"/>
      </w:pPr>
      <w:r>
        <w:t xml:space="preserve">The complaint list holds 10 cases in total.</w:t>
      </w:r>
    </w:p>
    <w:p>
      <w:pPr>
        <w:pStyle w:val="ListBullet"/>
      </w:pPr>
      <w:r>
        <w:t xml:space="preserve">SYN-2026-001: 2026-01-12, Packaging damage, Tablets, batch SYN-LOT-25A112, Closed</w:t>
      </w:r>
    </w:p>
    <w:p>
      <w:pPr>
        <w:pStyle w:val="Heading2"/>
      </w:pPr>
      <w:r>
        <w:t xml:space="preserve">Case documents used</w:t>
      </w:r>
    </w:p>
    <w:p>
      <w:pPr>
        <w:pStyle w:val="ListBullet"/>
      </w:pPr>
      <w:r>
        <w:t xml:space="preserve">transport-note.txt: text inserted into the prompt</w:t>
      </w:r>
    </w:p>
    <w:sectPr>
      <w:headerReference w:type="default" r:id="rId2"/>
      <w:footerReference w:type="default" r:id="rId3"/>
      <w:pgSz w:w="11906" w:h="16838"/>
      <w:pgMar w:top="1247" w:right="1134" w:bottom="1134" w:left="1134" w:header="567" w:footer="510" w:gutter="0"/>
    </w:sectPr>
  </w:body>
</w:document>
</file>

<file path=word/footer1.xml><?xml version="1.0" encoding="utf-8"?>
<w:ftr xmlns:w="http://schemas.openxmlformats.org/wordprocessingml/2006/main" xmlns:r="http://schemas.openxmlformats.org/officeDocument/2006/relationships">
  <w:p>
    <w:pPr>
      <w:pStyle w:val="Footer"/>
    </w:pPr>
    <w:r>
      <w:rPr>
        <w:color w:val="7F7F7F"/>
        <w:sz w:val="16"/>
      </w:rPr>
      <w:t xml:space="preserve">Generated 30.10.2026 15:25 by Complaint Dossier (run 20261030T152519Z-335b42, AI: demo answer written in advance, not Copilot). 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p>
</w:ftr>
</file>

<file path=word/header1.xml><?xml version="1.0" encoding="utf-8"?>
<w:hdr xmlns:w="http://schemas.openxmlformats.org/wordprocessingml/2006/main" xmlns:r="http://schemas.openxmlformats.org/officeDocument/2006/relationships">
  <w:p>
    <w:pPr>
      <w:pStyle w:val="Header"/>
      <w:tabs>
        <w:tab w:val="right" w:pos="9638"/>
      </w:tabs>
    </w:pPr>
    <w:r>
      <w:rPr>
        <w:b/>
        <w:color w:val="C00000"/>
      </w:rPr>
      <w:t xml:space="preserve">DRAFT generated by Complaint Dossier. Not reviewed. Check every statement against the case file before use.</w:t>
    </w:r>
  </w:p>
  <w:p>
    <w:pPr>
      <w:pStyle w:val="Header"/>
      <w:jc w:val="right"/>
    </w:pPr>
    <w:r>
      <w:t xml:space="preserve">Complaint report (short), complaint SYN-2026-006</w:t>
    </w:r>
  </w:p>
</w:hd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rPr>
        <w:rFonts w:ascii="Calibri" w:hAnsi="Calibri"/>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lang w:val="en-GB"/>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Pr>
    <w:rPr>
      <w:b/>
      <w:color w:val="1F3864"/>
      <w:sz w:val="40"/>
    </w:rPr>
  </w:style>
  <w:style w:type="paragraph" w:styleId="Heading1">
    <w:name w:val="heading 1"/>
    <w:basedOn w:val="Normal"/>
    <w:next w:val="Normal"/>
    <w:qFormat/>
    <w:pPr>
      <w:keepNext/>
      <w:pBdr>
        <w:bottom w:val="single" w:sz="4" w:space="2" w:color="8EAADB"/>
      </w:pBdr>
      <w:spacing w:before="300" w:after="100"/>
      <w:outlineLvl w:val="0"/>
    </w:pPr>
    <w:rPr>
      <w:b/>
      <w:color w:val="1F3864"/>
      <w:sz w:val="26"/>
    </w:rPr>
  </w:style>
  <w:style w:type="paragraph" w:styleId="Heading2">
    <w:name w:val="heading 2"/>
    <w:basedOn w:val="Normal"/>
    <w:next w:val="Normal"/>
    <w:qFormat/>
    <w:pPr>
      <w:keepNext/>
      <w:spacing w:before="200" w:after="80"/>
      <w:outlineLvl w:val="1"/>
    </w:pPr>
    <w:rPr>
      <w:b/>
      <w:color w:val="2F5496"/>
      <w:sz w:val="22"/>
    </w:rPr>
  </w:style>
  <w:style w:type="paragraph" w:styleId="ListBullet">
    <w:name w:val="List Bullet"/>
    <w:basedOn w:val="Normal"/>
    <w:pPr>
      <w:numPr>
        <w:numId w:val="1"/>
      </w:numPr>
      <w:spacing w:after="40"/>
      <w:ind w:left="360" w:hanging="360"/>
    </w:pPr>
  </w:style>
  <w:style w:type="paragraph" w:styleId="Note">
    <w:name w:val="Note"/>
    <w:basedOn w:val="Normal"/>
    <w:rPr>
      <w:i/>
      <w:color w:val="595959"/>
      <w:sz w:val="19"/>
    </w:rPr>
  </w:style>
  <w:style w:type="paragraph" w:styleId="TableLabel">
    <w:name w:val="Table Label"/>
    <w:basedOn w:val="Normal"/>
    <w:pPr>
      <w:spacing w:before="40" w:after="40"/>
    </w:pPr>
    <w:rPr>
      <w:b/>
      <w:sz w:val="19"/>
    </w:rPr>
  </w:style>
  <w:style w:type="paragraph" w:styleId="TableValue">
    <w:name w:val="Table Value"/>
    <w:basedOn w:val="Normal"/>
    <w:pPr>
      <w:spacing w:before="40" w:after="40"/>
    </w:pPr>
    <w:rPr>
      <w:sz w:val="19"/>
    </w:rPr>
  </w:style>
  <w:style w:type="paragraph" w:styleId="Header">
    <w:name w:val="header"/>
    <w:basedOn w:val="Normal"/>
    <w:pPr>
      <w:spacing w:after="0"/>
    </w:pPr>
    <w:rPr>
      <w:sz w:val="18"/>
    </w:rPr>
  </w:style>
  <w:style w:type="paragraph" w:styleId="Footer">
    <w:name w:val="footer"/>
    <w:basedOn w:val="Normal"/>
    <w:pPr>
      <w:spacing w:after="0"/>
    </w:pPr>
    <w:rPr>
      <w:color w:val="7F7F7F"/>
      <w:sz w:val="16"/>
    </w:rPr>
  </w:style>
  <w:style w:type="table" w:styleId="FormTable">
    <w:name w:val="Form Table"/>
    <w:tblPr>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Complaint report</dc:title>
  <dc:creator>Complaint Dossier example template</dc:creator>
  <cp:contentStatus>Draft - to be reviewed</cp:contentStatus>
</cp:coreProperties>
</file>