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pPr>
      <w:r>
        <w:rPr>
          <w:b/>
          <w:color w:val="00737D"/>
          <w:sz w:val="22"/>
        </w:rPr>
        <w:t>MASTER IMPLEMENTATION BRIEF</w:t>
      </w:r>
    </w:p>
    <w:p>
      <w:pPr>
        <w:pStyle w:val="Title"/>
      </w:pPr>
      <w:r>
        <w:t>Autonomous Multi-Site</w:t>
        <w:br/>
        <w:t>Content Engine</w:t>
      </w:r>
    </w:p>
    <w:p>
      <w:r>
        <w:rPr>
          <w:color w:val="4B5B60"/>
          <w:sz w:val="30"/>
        </w:rPr>
        <w:t>n8n orchestration + shared content-engine service + independent quality gates</w:t>
      </w:r>
    </w:p>
    <w:p>
      <w:pPr>
        <w:spacing w:before="360"/>
      </w:pPr>
      <w:r>
        <w:t>A build specification for a durable, research-led publishing system across multiple niches and Next.js websites on one VPS.</w:t>
      </w:r>
    </w:p>
    <w:p/>
    <w:tbl>
      <w:tblPr>
        <w:tblW w:type="auto" w:w="0"/>
        <w:jc w:val="center"/>
        <w:tblLook w:firstColumn="1" w:firstRow="1" w:lastColumn="0" w:lastRow="0" w:noHBand="0" w:noVBand="1" w:val="04A0"/>
      </w:tblPr>
      <w:tblGrid>
        <w:gridCol w:w="9994"/>
      </w:tblGrid>
      <w:tr>
        <w:tc>
          <w:tcPr>
            <w:tcW w:type="dxa" w:w="9994"/>
            <w:shd w:fill="EAF2F3"/>
          </w:tcPr>
          <w:p>
            <w:pPr>
              <w:spacing w:after="60"/>
            </w:pPr>
            <w:r>
              <w:rPr>
                <w:b/>
                <w:color w:val="003B46"/>
                <w:sz w:val="20"/>
              </w:rPr>
              <w:t>NON-NEGOTIABLE</w:t>
              <w:br/>
            </w:r>
            <w:r>
              <w:rPr>
                <w:sz w:val="18"/>
              </w:rPr>
              <w:t>The system must prefer not publishing over publishing weak, unsupported, duplicated, misattributed, or site-contaminated content. No prompt, model, detector, or workflow can guarantee zero hallucinations, zero plagiarism, perpetual unattended operation, or search rankings. The engineering objective is measurable risk reduction, fail-closed publishing, maintainability, and continuous verification—not impossible guarantees.</w:t>
            </w:r>
          </w:p>
        </w:tc>
      </w:tr>
    </w:tbl>
    <w:p>
      <w:pPr>
        <w:spacing w:after="0"/>
      </w:pPr>
    </w:p>
    <w:p>
      <w:pPr>
        <w:pStyle w:val="Heading1"/>
      </w:pPr>
      <w:r>
        <w:t>Document purpose</w:t>
      </w:r>
    </w:p>
    <w:p>
      <w:r>
        <w:t>Give this complete document to the coding agent as the implementation contract. The agent must inspect the existing repository first, explain the current architecture and risks, propose a migration plan, and then implement in small, testable stages. It must not invent repository details, silently replace working infrastructure, or claim tests passed unless they were actually run.</w:t>
      </w:r>
    </w:p>
    <w:p>
      <w:pPr>
        <w:pStyle w:val="Heading2"/>
      </w:pPr>
      <w:r>
        <w:t>Target environment</w:t>
      </w:r>
    </w:p>
    <w:p>
      <w:pPr>
        <w:pStyle w:val="ListBullet"/>
        <w:spacing w:after="40"/>
      </w:pPr>
      <w:r>
        <w:t>Multiple websites serving different niches and editorial purposes.</w:t>
      </w:r>
    </w:p>
    <w:p>
      <w:pPr>
        <w:pStyle w:val="ListBullet"/>
        <w:spacing w:after="40"/>
      </w:pPr>
      <w:r>
        <w:t>Websites built with Next.js and deployed on the same VPS.</w:t>
      </w:r>
    </w:p>
    <w:p>
      <w:pPr>
        <w:pStyle w:val="ListBullet"/>
        <w:spacing w:after="40"/>
      </w:pPr>
      <w:r>
        <w:t>OpenRouter used as the model gateway; available model IDs and capabilities must be discovered dynamically and benchmarked.</w:t>
      </w:r>
    </w:p>
    <w:p>
      <w:pPr>
        <w:pStyle w:val="ListBullet"/>
        <w:spacing w:after="40"/>
      </w:pPr>
      <w:r>
        <w:t>n8n used as the workflow orchestrator; content logic should live in a versioned, testable service/library rather than a giant opaque workflow.</w:t>
      </w:r>
    </w:p>
    <w:p>
      <w:pPr>
        <w:pStyle w:val="ListBullet"/>
        <w:spacing w:after="40"/>
      </w:pPr>
      <w:r>
        <w:t>Target volume: approximately 30 articles per month initially, with a design that can scale without unnecessary infrastructure.</w:t>
      </w:r>
    </w:p>
    <w:p>
      <w:pPr>
        <w:pStyle w:val="ListBullet"/>
        <w:spacing w:after="40"/>
      </w:pPr>
      <w:r>
        <w:t>Desired operation: unattended routine execution, with exceptions quarantined automatically. Human review is an exception path, not a hidden dependency that the system pretends does not exist.</w:t>
      </w:r>
    </w:p>
    <w:p>
      <w:r>
        <w:br w:type="page"/>
      </w:r>
    </w:p>
    <w:p>
      <w:pPr>
        <w:pStyle w:val="Heading1"/>
      </w:pPr>
      <w:r>
        <w:t>1. Mission and success criteria</w:t>
      </w:r>
    </w:p>
    <w:p>
      <w:r>
        <w:t>Build a multi-site editorial production system that can research, draft, verify, edit, validate, and publish only when a strict evidence-based release policy is satisfied. Its purpose is not to generate the maximum number of words. Its purpose is to produce useful, specific, defensible pages that answer real user questions, contribute original synthesis, and make the next useful action clear without manipulative sales language.</w:t>
      </w:r>
    </w:p>
    <w:p>
      <w:pPr>
        <w:pStyle w:val="ListBullet"/>
        <w:spacing w:after="40"/>
      </w:pPr>
      <w:r>
        <w:t>Evidence-first: claims are linked to inspectable sources and classified by strength, recency, and relevance.</w:t>
      </w:r>
    </w:p>
    <w:p>
      <w:pPr>
        <w:pStyle w:val="ListBullet"/>
        <w:spacing w:after="40"/>
      </w:pPr>
      <w:r>
        <w:t>Originality-first: each article has a clear purpose, a distinct angle, and material value beyond restating search results.</w:t>
      </w:r>
    </w:p>
    <w:p>
      <w:pPr>
        <w:pStyle w:val="ListBullet"/>
        <w:spacing w:after="40"/>
      </w:pPr>
      <w:r>
        <w:t>Site isolation: each website has its own knowledge, URLs, authors, brand rules, media namespace, internal-link graph, and publication credentials.</w:t>
      </w:r>
    </w:p>
    <w:p>
      <w:pPr>
        <w:pStyle w:val="ListBullet"/>
        <w:spacing w:after="40"/>
      </w:pPr>
      <w:r>
        <w:t>Fail-closed: uncertainty, missing sources, broken references, unresolved similarity, or technical failure blocks publication.</w:t>
      </w:r>
    </w:p>
    <w:p>
      <w:pPr>
        <w:pStyle w:val="ListBullet"/>
        <w:spacing w:after="40"/>
      </w:pPr>
      <w:r>
        <w:t>Auditable: every article can be traced to its brief, sources, prompts/config version, model, checks, revisions, and publish event.</w:t>
      </w:r>
    </w:p>
    <w:p>
      <w:pPr>
        <w:pStyle w:val="ListBullet"/>
        <w:spacing w:after="40"/>
      </w:pPr>
      <w:r>
        <w:t>Resilient: retries are idempotent; jobs resume from persisted state; model/API failures do not lose work or create duplicate posts.</w:t>
      </w:r>
    </w:p>
    <w:p>
      <w:pPr>
        <w:pStyle w:val="ListBullet"/>
        <w:spacing w:after="40"/>
      </w:pPr>
      <w:r>
        <w:t>Maintainable: provider, model, source, CMS/API, and policy changes can be handled through versioned adapters and tests.</w:t>
      </w:r>
    </w:p>
    <w:p>
      <w:pPr>
        <w:pStyle w:val="Heading1"/>
      </w:pPr>
      <w:r>
        <w:t>2. Explicit limits and honest operating contract</w:t>
      </w:r>
    </w:p>
    <w:tbl>
      <w:tblPr>
        <w:tblW w:type="auto" w:w="0"/>
        <w:jc w:val="center"/>
        <w:tblLook w:firstColumn="1" w:firstRow="1" w:lastColumn="0" w:lastRow="0" w:noHBand="0" w:noVBand="1" w:val="04A0"/>
      </w:tblPr>
      <w:tblGrid>
        <w:gridCol w:w="9994"/>
      </w:tblGrid>
      <w:tr>
        <w:tc>
          <w:tcPr>
            <w:tcW w:type="dxa" w:w="9994"/>
            <w:shd w:fill="EAF2F3"/>
          </w:tcPr>
          <w:p>
            <w:pPr>
              <w:spacing w:after="60"/>
            </w:pPr>
            <w:r>
              <w:rPr>
                <w:b/>
                <w:color w:val="003B46"/>
                <w:sz w:val="20"/>
              </w:rPr>
              <w:t>Do not promise the impossible</w:t>
              <w:br/>
            </w:r>
            <w:r>
              <w:rPr>
                <w:sz w:val="18"/>
              </w:rPr>
              <w:t>No system can honestly guarantee content that is always hallucination-free, plagiarism-free in every possible corpus, undetectable as AI-written, guaranteed to rank, guaranteed to be cited by LLMs, or able to run unattended for 20+ years without maintenance. APIs, websites, search systems, regulations, dependencies, and hosting environments change. Build a system that detects failure, degrades safely, alerts, preserves state, and supports tested upgrades.</w:t>
            </w:r>
          </w:p>
        </w:tc>
      </w:tr>
    </w:tbl>
    <w:p>
      <w:pPr>
        <w:spacing w:after="0"/>
      </w:pPr>
    </w:p>
    <w:p>
      <w:r>
        <w:t>Do not implement AI-detector evasion, deliberate spelling variation, random stylistic noise, fake personal experience, invented authorship, fabricated citations, or text spinning. The target is editorial quality and originality—not gaming Grammarly or other AI classifiers. Detector scores are not reliable proof of authorship or quality and must not be the primary release metric.</w:t>
      </w:r>
    </w:p>
    <w:p>
      <w:pPr>
        <w:pStyle w:val="Heading1"/>
      </w:pPr>
      <w:r>
        <w:t>3. First task: audit the existing codebase before changing it</w:t>
      </w:r>
    </w:p>
    <w:p>
      <w:r>
        <w:t>The coding agent must not assume the framework, database, process manager, deployment topology, CMS interface, authentication method, or current cron design. Inspect the repository and deployment configuration first.</w:t>
      </w:r>
    </w:p>
    <w:p>
      <w:pPr>
        <w:pStyle w:val="ListNumber"/>
        <w:spacing w:after="40"/>
      </w:pPr>
      <w:r>
        <w:t>Map entry points, scheduled tasks, background processes, queues, database/state storage, API routes, prompt files, model calls, publishing adapters, logs, and environment variables.</w:t>
      </w:r>
    </w:p>
    <w:p>
      <w:pPr>
        <w:pStyle w:val="ListNumber"/>
        <w:spacing w:after="40"/>
      </w:pPr>
      <w:r>
        <w:t>Identify where article status is stored and whether each stage can resume after a crash.</w:t>
      </w:r>
    </w:p>
    <w:p>
      <w:pPr>
        <w:pStyle w:val="ListNumber"/>
        <w:spacing w:after="40"/>
      </w:pPr>
      <w:r>
        <w:t>Trace one article end-to-end, including every transformation of research, citations, HTML/MDX, images, metadata, internal links, and publication payload.</w:t>
      </w:r>
    </w:p>
    <w:p>
      <w:pPr>
        <w:pStyle w:val="ListNumber"/>
        <w:spacing w:after="40"/>
      </w:pPr>
      <w:r>
        <w:t>Inspect the current article output and identify factual, sourcing, repetition, template, SEO, media, and site-isolation failures.</w:t>
      </w:r>
    </w:p>
    <w:p>
      <w:pPr>
        <w:pStyle w:val="ListNumber"/>
        <w:spacing w:after="40"/>
      </w:pPr>
      <w:r>
        <w:t>Identify secrets and ensure they are not committed, printed in logs, exposed to workflow output, or returned in errors.</w:t>
      </w:r>
    </w:p>
    <w:p>
      <w:pPr>
        <w:pStyle w:val="ListNumber"/>
        <w:spacing w:after="40"/>
      </w:pPr>
      <w:r>
        <w:t>Run existing tests and record the baseline. Do not overwrite the only copy of a production database or configuration.</w:t>
      </w:r>
    </w:p>
    <w:p>
      <w:pPr>
        <w:pStyle w:val="ListNumber"/>
        <w:spacing w:after="40"/>
      </w:pPr>
      <w:r>
        <w:t>Produce an architecture diagram, dependency inventory, failure-mode list, and migration plan before making structural changes.</w:t>
      </w:r>
    </w:p>
    <w:p>
      <w:r>
        <w:t>Required audit output: current-state map; high/medium/low risk register; data-flow diagram; migration plan; test baseline; rollback plan; explicit unknowns. Unknowns must remain labelled unknown until verified.</w:t>
      </w:r>
    </w:p>
    <w:p>
      <w:pPr>
        <w:pStyle w:val="Heading1"/>
      </w:pPr>
      <w:r>
        <w:t>4. Recommended architecture</w:t>
      </w:r>
    </w:p>
    <w:p>
      <w:r>
        <w:t>Use n8n for orchestration and observability, not as the only place where business logic exists. Keep the content engine as a separate, versioned service or package with typed inputs/outputs and a test suite. For the initial volume, one n8n instance and one application service may be sufficient. Do not add Redis, Kubernetes, or microservices without a measured requirement.</w:t>
      </w:r>
    </w:p>
    <w:tbl>
      <w:tblPr>
        <w:tblW w:type="auto" w:w="0"/>
        <w:jc w:val="center"/>
        <w:tblLook w:firstColumn="1" w:firstRow="1" w:lastColumn="0" w:lastRow="0" w:noHBand="0" w:noVBand="1" w:val="04A0"/>
      </w:tblPr>
      <w:tblGrid>
        <w:gridCol w:w="3331"/>
        <w:gridCol w:w="3331"/>
        <w:gridCol w:w="3331"/>
      </w:tblGrid>
      <w:tr>
        <w:tc>
          <w:tcPr>
            <w:tcW w:type="dxa" w:w="3331"/>
            <w:vAlign w:val="center"/>
            <w:shd w:fill="003B46"/>
          </w:tcPr>
          <w:p>
            <w:pPr>
              <w:spacing w:after="20"/>
            </w:pPr>
            <w:r/>
            <w:r>
              <w:rPr>
                <w:rFonts w:ascii="Aptos" w:hAnsi="Aptos"/>
                <w:b/>
                <w:color w:val="FFFFFF"/>
                <w:sz w:val="17"/>
              </w:rPr>
              <w:t>Layer</w:t>
            </w:r>
          </w:p>
        </w:tc>
        <w:tc>
          <w:tcPr>
            <w:tcW w:type="dxa" w:w="3331"/>
            <w:vAlign w:val="center"/>
            <w:shd w:fill="003B46"/>
          </w:tcPr>
          <w:p>
            <w:pPr>
              <w:spacing w:after="20"/>
            </w:pPr>
            <w:r/>
            <w:r>
              <w:rPr>
                <w:rFonts w:ascii="Aptos" w:hAnsi="Aptos"/>
                <w:b/>
                <w:color w:val="FFFFFF"/>
                <w:sz w:val="17"/>
              </w:rPr>
              <w:t>Responsibility</w:t>
            </w:r>
          </w:p>
        </w:tc>
        <w:tc>
          <w:tcPr>
            <w:tcW w:type="dxa" w:w="3331"/>
            <w:vAlign w:val="center"/>
            <w:shd w:fill="003B46"/>
          </w:tcPr>
          <w:p>
            <w:pPr>
              <w:spacing w:after="20"/>
            </w:pPr>
            <w:r/>
            <w:r>
              <w:rPr>
                <w:rFonts w:ascii="Aptos" w:hAnsi="Aptos"/>
                <w:b/>
                <w:color w:val="FFFFFF"/>
                <w:sz w:val="17"/>
              </w:rPr>
              <w:t>Must not do</w:t>
            </w:r>
          </w:p>
        </w:tc>
      </w:tr>
      <w:tr>
        <w:tc>
          <w:tcPr>
            <w:tcW w:type="dxa" w:w="3331"/>
            <w:vAlign w:val="center"/>
          </w:tcPr>
          <w:p>
            <w:pPr>
              <w:spacing w:after="20"/>
            </w:pPr>
            <w:r/>
            <w:r>
              <w:rPr>
                <w:rFonts w:ascii="Aptos" w:hAnsi="Aptos"/>
                <w:b w:val="0"/>
                <w:sz w:val="16"/>
              </w:rPr>
              <w:t>n8n orchestration</w:t>
            </w:r>
          </w:p>
        </w:tc>
        <w:tc>
          <w:tcPr>
            <w:tcW w:type="dxa" w:w="3331"/>
            <w:vAlign w:val="center"/>
          </w:tcPr>
          <w:p>
            <w:pPr>
              <w:spacing w:after="20"/>
            </w:pPr>
            <w:r/>
            <w:r>
              <w:rPr>
                <w:rFonts w:ascii="Aptos" w:hAnsi="Aptos"/>
                <w:b w:val="0"/>
                <w:sz w:val="16"/>
              </w:rPr>
              <w:t>Schedules, starts jobs, branches on status, retries transient errors, alerts, invokes services.</w:t>
            </w:r>
          </w:p>
        </w:tc>
        <w:tc>
          <w:tcPr>
            <w:tcW w:type="dxa" w:w="3331"/>
            <w:vAlign w:val="center"/>
          </w:tcPr>
          <w:p>
            <w:pPr>
              <w:spacing w:after="20"/>
            </w:pPr>
            <w:r/>
            <w:r>
              <w:rPr>
                <w:rFonts w:ascii="Aptos" w:hAnsi="Aptos"/>
                <w:b w:val="0"/>
                <w:sz w:val="16"/>
              </w:rPr>
              <w:t>Contain all editorial logic in hundreds of fragile nodes.</w:t>
            </w:r>
          </w:p>
        </w:tc>
      </w:tr>
      <w:tr>
        <w:tc>
          <w:tcPr>
            <w:tcW w:type="dxa" w:w="3331"/>
            <w:vAlign w:val="center"/>
          </w:tcPr>
          <w:p>
            <w:pPr>
              <w:spacing w:after="20"/>
            </w:pPr>
            <w:r/>
            <w:r>
              <w:rPr>
                <w:rFonts w:ascii="Aptos" w:hAnsi="Aptos"/>
                <w:b w:val="0"/>
                <w:sz w:val="16"/>
              </w:rPr>
              <w:t>Content-engine service</w:t>
            </w:r>
          </w:p>
        </w:tc>
        <w:tc>
          <w:tcPr>
            <w:tcW w:type="dxa" w:w="3331"/>
            <w:vAlign w:val="center"/>
          </w:tcPr>
          <w:p>
            <w:pPr>
              <w:spacing w:after="20"/>
            </w:pPr>
            <w:r/>
            <w:r>
              <w:rPr>
                <w:rFonts w:ascii="Aptos" w:hAnsi="Aptos"/>
                <w:b w:val="0"/>
                <w:sz w:val="16"/>
              </w:rPr>
              <w:t>Research planning, evidence ledger, drafting, editing, checks, quality policy.</w:t>
            </w:r>
          </w:p>
        </w:tc>
        <w:tc>
          <w:tcPr>
            <w:tcW w:type="dxa" w:w="3331"/>
            <w:vAlign w:val="center"/>
          </w:tcPr>
          <w:p>
            <w:pPr>
              <w:spacing w:after="20"/>
            </w:pPr>
            <w:r/>
            <w:r>
              <w:rPr>
                <w:rFonts w:ascii="Aptos" w:hAnsi="Aptos"/>
                <w:b w:val="0"/>
                <w:sz w:val="16"/>
              </w:rPr>
              <w:t>Publish directly around quality gates.</w:t>
            </w:r>
          </w:p>
        </w:tc>
      </w:tr>
      <w:tr>
        <w:tc>
          <w:tcPr>
            <w:tcW w:type="dxa" w:w="3331"/>
            <w:vAlign w:val="center"/>
          </w:tcPr>
          <w:p>
            <w:pPr>
              <w:spacing w:after="20"/>
            </w:pPr>
            <w:r/>
            <w:r>
              <w:rPr>
                <w:rFonts w:ascii="Aptos" w:hAnsi="Aptos"/>
                <w:b w:val="0"/>
                <w:sz w:val="16"/>
              </w:rPr>
              <w:t>Persistent database</w:t>
            </w:r>
          </w:p>
        </w:tc>
        <w:tc>
          <w:tcPr>
            <w:tcW w:type="dxa" w:w="3331"/>
            <w:vAlign w:val="center"/>
          </w:tcPr>
          <w:p>
            <w:pPr>
              <w:spacing w:after="20"/>
            </w:pPr>
            <w:r/>
            <w:r>
              <w:rPr>
                <w:rFonts w:ascii="Aptos" w:hAnsi="Aptos"/>
                <w:b w:val="0"/>
                <w:sz w:val="16"/>
              </w:rPr>
              <w:t>Job state, site config versions, sources, article versions, check results, idempotency keys.</w:t>
            </w:r>
          </w:p>
        </w:tc>
        <w:tc>
          <w:tcPr>
            <w:tcW w:type="dxa" w:w="3331"/>
            <w:vAlign w:val="center"/>
          </w:tcPr>
          <w:p>
            <w:pPr>
              <w:spacing w:after="20"/>
            </w:pPr>
            <w:r/>
            <w:r>
              <w:rPr>
                <w:rFonts w:ascii="Aptos" w:hAnsi="Aptos"/>
                <w:b w:val="0"/>
                <w:sz w:val="16"/>
              </w:rPr>
              <w:t>Treat workflow execution history as the only durable business record.</w:t>
            </w:r>
          </w:p>
        </w:tc>
      </w:tr>
      <w:tr>
        <w:tc>
          <w:tcPr>
            <w:tcW w:type="dxa" w:w="3331"/>
            <w:vAlign w:val="center"/>
          </w:tcPr>
          <w:p>
            <w:pPr>
              <w:spacing w:after="20"/>
            </w:pPr>
            <w:r/>
            <w:r>
              <w:rPr>
                <w:rFonts w:ascii="Aptos" w:hAnsi="Aptos"/>
                <w:b w:val="0"/>
                <w:sz w:val="16"/>
              </w:rPr>
              <w:t>Source adapters</w:t>
            </w:r>
          </w:p>
        </w:tc>
        <w:tc>
          <w:tcPr>
            <w:tcW w:type="dxa" w:w="3331"/>
            <w:vAlign w:val="center"/>
          </w:tcPr>
          <w:p>
            <w:pPr>
              <w:spacing w:after="20"/>
            </w:pPr>
            <w:r/>
            <w:r>
              <w:rPr>
                <w:rFonts w:ascii="Aptos" w:hAnsi="Aptos"/>
                <w:b w:val="0"/>
                <w:sz w:val="16"/>
              </w:rPr>
              <w:t>Fetch approved public sources and structured scholarly metadata with caching and provenance.</w:t>
            </w:r>
          </w:p>
        </w:tc>
        <w:tc>
          <w:tcPr>
            <w:tcW w:type="dxa" w:w="3331"/>
            <w:vAlign w:val="center"/>
          </w:tcPr>
          <w:p>
            <w:pPr>
              <w:spacing w:after="20"/>
            </w:pPr>
            <w:r/>
            <w:r>
              <w:rPr>
                <w:rFonts w:ascii="Aptos" w:hAnsi="Aptos"/>
                <w:b w:val="0"/>
                <w:sz w:val="16"/>
              </w:rPr>
              <w:t>Treat search snippets or model memory as proof.</w:t>
            </w:r>
          </w:p>
        </w:tc>
      </w:tr>
      <w:tr>
        <w:tc>
          <w:tcPr>
            <w:tcW w:type="dxa" w:w="3331"/>
            <w:vAlign w:val="center"/>
          </w:tcPr>
          <w:p>
            <w:pPr>
              <w:spacing w:after="20"/>
            </w:pPr>
            <w:r/>
            <w:r>
              <w:rPr>
                <w:rFonts w:ascii="Aptos" w:hAnsi="Aptos"/>
                <w:b w:val="0"/>
                <w:sz w:val="16"/>
              </w:rPr>
              <w:t>Model gateway adapter</w:t>
            </w:r>
          </w:p>
        </w:tc>
        <w:tc>
          <w:tcPr>
            <w:tcW w:type="dxa" w:w="3331"/>
            <w:vAlign w:val="center"/>
          </w:tcPr>
          <w:p>
            <w:pPr>
              <w:spacing w:after="20"/>
            </w:pPr>
            <w:r/>
            <w:r>
              <w:rPr>
                <w:rFonts w:ascii="Aptos" w:hAnsi="Aptos"/>
                <w:b w:val="0"/>
                <w:sz w:val="16"/>
              </w:rPr>
              <w:t>OpenRouter model discovery, capability checks, routing, timeout/fallback policy.</w:t>
            </w:r>
          </w:p>
        </w:tc>
        <w:tc>
          <w:tcPr>
            <w:tcW w:type="dxa" w:w="3331"/>
            <w:vAlign w:val="center"/>
          </w:tcPr>
          <w:p>
            <w:pPr>
              <w:spacing w:after="20"/>
            </w:pPr>
            <w:r/>
            <w:r>
              <w:rPr>
                <w:rFonts w:ascii="Aptos" w:hAnsi="Aptos"/>
                <w:b w:val="0"/>
                <w:sz w:val="16"/>
              </w:rPr>
              <w:t>Hardcode unverified model IDs or silently change models.</w:t>
            </w:r>
          </w:p>
        </w:tc>
      </w:tr>
      <w:tr>
        <w:tc>
          <w:tcPr>
            <w:tcW w:type="dxa" w:w="3331"/>
            <w:vAlign w:val="center"/>
          </w:tcPr>
          <w:p>
            <w:pPr>
              <w:spacing w:after="20"/>
            </w:pPr>
            <w:r/>
            <w:r>
              <w:rPr>
                <w:rFonts w:ascii="Aptos" w:hAnsi="Aptos"/>
                <w:b w:val="0"/>
                <w:sz w:val="16"/>
              </w:rPr>
              <w:t>Site publishing adapters</w:t>
            </w:r>
          </w:p>
        </w:tc>
        <w:tc>
          <w:tcPr>
            <w:tcW w:type="dxa" w:w="3331"/>
            <w:vAlign w:val="center"/>
          </w:tcPr>
          <w:p>
            <w:pPr>
              <w:spacing w:after="20"/>
            </w:pPr>
            <w:r/>
            <w:r>
              <w:rPr>
                <w:rFonts w:ascii="Aptos" w:hAnsi="Aptos"/>
                <w:b w:val="0"/>
                <w:sz w:val="16"/>
              </w:rPr>
              <w:t>Validate payload and publish to the intended Next.js site/API/CMS.</w:t>
            </w:r>
          </w:p>
        </w:tc>
        <w:tc>
          <w:tcPr>
            <w:tcW w:type="dxa" w:w="3331"/>
            <w:vAlign w:val="center"/>
          </w:tcPr>
          <w:p>
            <w:pPr>
              <w:spacing w:after="20"/>
            </w:pPr>
            <w:r/>
            <w:r>
              <w:rPr>
                <w:rFonts w:ascii="Aptos" w:hAnsi="Aptos"/>
                <w:b w:val="0"/>
                <w:sz w:val="16"/>
              </w:rPr>
              <w:t>Use shared credentials or guess site endpoints.</w:t>
            </w:r>
          </w:p>
        </w:tc>
      </w:tr>
      <w:tr>
        <w:tc>
          <w:tcPr>
            <w:tcW w:type="dxa" w:w="3331"/>
            <w:vAlign w:val="center"/>
          </w:tcPr>
          <w:p>
            <w:pPr>
              <w:spacing w:after="20"/>
            </w:pPr>
            <w:r/>
            <w:r>
              <w:rPr>
                <w:rFonts w:ascii="Aptos" w:hAnsi="Aptos"/>
                <w:b w:val="0"/>
                <w:sz w:val="16"/>
              </w:rPr>
              <w:t>Monitoring and backups</w:t>
            </w:r>
          </w:p>
        </w:tc>
        <w:tc>
          <w:tcPr>
            <w:tcW w:type="dxa" w:w="3331"/>
            <w:vAlign w:val="center"/>
          </w:tcPr>
          <w:p>
            <w:pPr>
              <w:spacing w:after="20"/>
            </w:pPr>
            <w:r/>
            <w:r>
              <w:rPr>
                <w:rFonts w:ascii="Aptos" w:hAnsi="Aptos"/>
                <w:b w:val="0"/>
                <w:sz w:val="16"/>
              </w:rPr>
              <w:t>Health checks, error reporting, backup verification, dependency/security alerts.</w:t>
            </w:r>
          </w:p>
        </w:tc>
        <w:tc>
          <w:tcPr>
            <w:tcW w:type="dxa" w:w="3331"/>
            <w:vAlign w:val="center"/>
          </w:tcPr>
          <w:p>
            <w:pPr>
              <w:spacing w:after="20"/>
            </w:pPr>
            <w:r/>
            <w:r>
              <w:rPr>
                <w:rFonts w:ascii="Aptos" w:hAnsi="Aptos"/>
                <w:b w:val="0"/>
                <w:sz w:val="16"/>
              </w:rPr>
              <w:t>Assume unattended means unmonitored.</w:t>
            </w:r>
          </w:p>
        </w:tc>
      </w:tr>
    </w:tbl>
    <w:p>
      <w:r>
        <w:t>Suggested high-level flow: schedule → select eligible brief → acquire per-article lock → research plan → collect sources → build evidence ledger → draft → independent verification → editorial revision → originality and SEO checks → site-specific link/media validation → release policy → publish or quarantine → verify published URL → record metrics and provenance.</w:t>
      </w:r>
    </w:p>
    <w:p>
      <w:pPr>
        <w:pStyle w:val="Heading1"/>
      </w:pPr>
      <w:r>
        <w:t>5. Multi-site configuration and isolation</w:t>
      </w:r>
    </w:p>
    <w:p>
      <w:r>
        <w:t>Represent each site as a version-controlled or database-backed configuration object. Never infer a site's settings from another site's configuration or from a URL found in generated text.</w:t>
      </w:r>
    </w:p>
    <w:p>
      <w:pPr>
        <w:pStyle w:val="ListBullet"/>
        <w:spacing w:after="40"/>
      </w:pPr>
      <w:r>
        <w:t>Stable site_id and canonical base URL, validated against an explicit allowlist.</w:t>
      </w:r>
    </w:p>
    <w:p>
      <w:pPr>
        <w:pStyle w:val="ListBullet"/>
        <w:spacing w:after="40"/>
      </w:pPr>
      <w:r>
        <w:t>Niche, audience, geography where relevant, site purpose, content categories, tone examples, terminology, reading level, and prohibited claims.</w:t>
      </w:r>
    </w:p>
    <w:p>
      <w:pPr>
        <w:pStyle w:val="ListBullet"/>
        <w:spacing w:after="40"/>
      </w:pPr>
      <w:r>
        <w:t>Editorial policies by content type, risk class, source allowlist/denylist, freshness requirements, and minimum evidence requirements.</w:t>
      </w:r>
    </w:p>
    <w:p>
      <w:pPr>
        <w:pStyle w:val="ListBullet"/>
        <w:spacing w:after="40"/>
      </w:pPr>
      <w:r>
        <w:t>Verified author identities and credentials only; never fabricate an author biography, reviewer, qualification, or first-person experience.</w:t>
      </w:r>
    </w:p>
    <w:p>
      <w:pPr>
        <w:pStyle w:val="ListBullet"/>
        <w:spacing w:after="40"/>
      </w:pPr>
      <w:r>
        <w:t>Internal URL inventory with page title, canonical URL, content type, last-checked time, topical role, and target-site ID.</w:t>
      </w:r>
    </w:p>
    <w:p>
      <w:pPr>
        <w:pStyle w:val="ListBullet"/>
        <w:spacing w:after="40"/>
      </w:pPr>
      <w:r>
        <w:t>Media storage prefix/domain and image licensing/attribution rules.</w:t>
      </w:r>
    </w:p>
    <w:p>
      <w:pPr>
        <w:pStyle w:val="ListBullet"/>
        <w:spacing w:after="40"/>
      </w:pPr>
      <w:r>
        <w:t>Site-specific publication adapter, authentication reference, status mapping, category/tag mapping, and rollback/unpublish procedure.</w:t>
      </w:r>
    </w:p>
    <w:p>
      <w:pPr>
        <w:pStyle w:val="ListBullet"/>
        <w:spacing w:after="40"/>
      </w:pPr>
      <w:r>
        <w:t>Schema, canonical, robots, sitemap, metadata, and structured-data rules for that specific Next.js implementation.</w:t>
      </w:r>
    </w:p>
    <w:p>
      <w:pPr>
        <w:pStyle w:val="ListBullet"/>
        <w:spacing w:after="40"/>
      </w:pPr>
      <w:r>
        <w:t>Per-site rate limits, article quotas, approval thresholds, and kill switch.</w:t>
      </w:r>
    </w:p>
    <w:tbl>
      <w:tblPr>
        <w:tblW w:type="auto" w:w="0"/>
        <w:jc w:val="center"/>
        <w:tblLook w:firstColumn="1" w:firstRow="1" w:lastColumn="0" w:lastRow="0" w:noHBand="0" w:noVBand="1" w:val="04A0"/>
      </w:tblPr>
      <w:tblGrid>
        <w:gridCol w:w="9994"/>
      </w:tblGrid>
      <w:tr>
        <w:tc>
          <w:tcPr>
            <w:tcW w:type="dxa" w:w="9994"/>
            <w:shd w:fill="EAF2F3"/>
          </w:tcPr>
          <w:p>
            <w:pPr>
              <w:spacing w:after="60"/>
            </w:pPr>
            <w:r>
              <w:rPr>
                <w:b/>
                <w:color w:val="003B46"/>
                <w:sz w:val="20"/>
              </w:rPr>
              <w:t>Isolation invariant</w:t>
              <w:br/>
            </w:r>
            <w:r>
              <w:rPr>
                <w:sz w:val="18"/>
              </w:rPr>
              <w:t>A job for site A may not read site B's private configuration, author records, link inventory, credentials, unpublished content, or media namespace unless an explicit, audited cross-site permission allows it. Similarity checks may compare sites to detect accidental duplication, but cross-site reuse is not permitted by default.</w:t>
            </w:r>
          </w:p>
        </w:tc>
      </w:tr>
    </w:tbl>
    <w:p>
      <w:pPr>
        <w:spacing w:after="0"/>
      </w:pPr>
    </w:p>
    <w:p>
      <w:pPr>
        <w:pStyle w:val="Heading1"/>
      </w:pPr>
      <w:r>
        <w:t>6. Durable job state machine and idempotency</w:t>
      </w:r>
    </w:p>
    <w:p>
      <w:r>
        <w:t>Implement a persistent state machine in the application database. n8n execution state is useful operationally but is not a substitute for durable article/job records.</w:t>
      </w:r>
    </w:p>
    <w:tbl>
      <w:tblPr>
        <w:tblW w:type="auto" w:w="0"/>
        <w:jc w:val="center"/>
        <w:tblLook w:firstColumn="1" w:firstRow="1" w:lastColumn="0" w:lastRow="0" w:noHBand="0" w:noVBand="1" w:val="04A0"/>
      </w:tblPr>
      <w:tblGrid>
        <w:gridCol w:w="4997"/>
        <w:gridCol w:w="4997"/>
      </w:tblGrid>
      <w:tr>
        <w:tc>
          <w:tcPr>
            <w:tcW w:type="dxa" w:w="4997"/>
            <w:vAlign w:val="center"/>
            <w:shd w:fill="003B46"/>
          </w:tcPr>
          <w:p>
            <w:pPr>
              <w:spacing w:after="20"/>
            </w:pPr>
            <w:r/>
            <w:r>
              <w:rPr>
                <w:rFonts w:ascii="Aptos" w:hAnsi="Aptos"/>
                <w:b/>
                <w:color w:val="FFFFFF"/>
                <w:sz w:val="17"/>
              </w:rPr>
              <w:t>State</w:t>
            </w:r>
          </w:p>
        </w:tc>
        <w:tc>
          <w:tcPr>
            <w:tcW w:type="dxa" w:w="4997"/>
            <w:vAlign w:val="center"/>
            <w:shd w:fill="003B46"/>
          </w:tcPr>
          <w:p>
            <w:pPr>
              <w:spacing w:after="20"/>
            </w:pPr>
            <w:r/>
            <w:r>
              <w:rPr>
                <w:rFonts w:ascii="Aptos" w:hAnsi="Aptos"/>
                <w:b/>
                <w:color w:val="FFFFFF"/>
                <w:sz w:val="17"/>
              </w:rPr>
              <w:t>Meaning</w:t>
            </w:r>
          </w:p>
        </w:tc>
      </w:tr>
      <w:tr>
        <w:tc>
          <w:tcPr>
            <w:tcW w:type="dxa" w:w="4997"/>
            <w:vAlign w:val="center"/>
          </w:tcPr>
          <w:p>
            <w:pPr>
              <w:spacing w:after="20"/>
            </w:pPr>
            <w:r/>
            <w:r>
              <w:rPr>
                <w:rFonts w:ascii="Aptos" w:hAnsi="Aptos"/>
                <w:b/>
                <w:sz w:val="16"/>
              </w:rPr>
              <w:t>QUEUED</w:t>
            </w:r>
          </w:p>
        </w:tc>
        <w:tc>
          <w:tcPr>
            <w:tcW w:type="dxa" w:w="4997"/>
            <w:vAlign w:val="center"/>
          </w:tcPr>
          <w:p>
            <w:pPr>
              <w:spacing w:after="20"/>
            </w:pPr>
            <w:r/>
            <w:r>
              <w:rPr>
                <w:rFonts w:ascii="Aptos" w:hAnsi="Aptos"/>
                <w:b w:val="0"/>
                <w:sz w:val="16"/>
              </w:rPr>
              <w:t>Brief exists and passed intake validation.</w:t>
            </w:r>
          </w:p>
        </w:tc>
      </w:tr>
      <w:tr>
        <w:tc>
          <w:tcPr>
            <w:tcW w:type="dxa" w:w="4997"/>
            <w:vAlign w:val="center"/>
          </w:tcPr>
          <w:p>
            <w:pPr>
              <w:spacing w:after="20"/>
            </w:pPr>
            <w:r/>
            <w:r>
              <w:rPr>
                <w:rFonts w:ascii="Aptos" w:hAnsi="Aptos"/>
                <w:b/>
                <w:sz w:val="16"/>
              </w:rPr>
              <w:t>RESEARCHING</w:t>
            </w:r>
          </w:p>
        </w:tc>
        <w:tc>
          <w:tcPr>
            <w:tcW w:type="dxa" w:w="4997"/>
            <w:vAlign w:val="center"/>
          </w:tcPr>
          <w:p>
            <w:pPr>
              <w:spacing w:after="20"/>
            </w:pPr>
            <w:r/>
            <w:r>
              <w:rPr>
                <w:rFonts w:ascii="Aptos" w:hAnsi="Aptos"/>
                <w:b w:val="0"/>
                <w:sz w:val="16"/>
              </w:rPr>
              <w:t>Source discovery and collection in progress.</w:t>
            </w:r>
          </w:p>
        </w:tc>
      </w:tr>
      <w:tr>
        <w:tc>
          <w:tcPr>
            <w:tcW w:type="dxa" w:w="4997"/>
            <w:vAlign w:val="center"/>
          </w:tcPr>
          <w:p>
            <w:pPr>
              <w:spacing w:after="20"/>
            </w:pPr>
            <w:r/>
            <w:r>
              <w:rPr>
                <w:rFonts w:ascii="Aptos" w:hAnsi="Aptos"/>
                <w:b/>
                <w:sz w:val="16"/>
              </w:rPr>
              <w:t>EVIDENCE_READY</w:t>
            </w:r>
          </w:p>
        </w:tc>
        <w:tc>
          <w:tcPr>
            <w:tcW w:type="dxa" w:w="4997"/>
            <w:vAlign w:val="center"/>
          </w:tcPr>
          <w:p>
            <w:pPr>
              <w:spacing w:after="20"/>
            </w:pPr>
            <w:r/>
            <w:r>
              <w:rPr>
                <w:rFonts w:ascii="Aptos" w:hAnsi="Aptos"/>
                <w:b w:val="0"/>
                <w:sz w:val="16"/>
              </w:rPr>
              <w:t>Evidence ledger satisfies minimum source requirements.</w:t>
            </w:r>
          </w:p>
        </w:tc>
      </w:tr>
      <w:tr>
        <w:tc>
          <w:tcPr>
            <w:tcW w:type="dxa" w:w="4997"/>
            <w:vAlign w:val="center"/>
          </w:tcPr>
          <w:p>
            <w:pPr>
              <w:spacing w:after="20"/>
            </w:pPr>
            <w:r/>
            <w:r>
              <w:rPr>
                <w:rFonts w:ascii="Aptos" w:hAnsi="Aptos"/>
                <w:b/>
                <w:sz w:val="16"/>
              </w:rPr>
              <w:t>DRAFTING</w:t>
            </w:r>
          </w:p>
        </w:tc>
        <w:tc>
          <w:tcPr>
            <w:tcW w:type="dxa" w:w="4997"/>
            <w:vAlign w:val="center"/>
          </w:tcPr>
          <w:p>
            <w:pPr>
              <w:spacing w:after="20"/>
            </w:pPr>
            <w:r/>
            <w:r>
              <w:rPr>
                <w:rFonts w:ascii="Aptos" w:hAnsi="Aptos"/>
                <w:b w:val="0"/>
                <w:sz w:val="16"/>
              </w:rPr>
              <w:t>Draft generated from approved evidence and brief.</w:t>
            </w:r>
          </w:p>
        </w:tc>
      </w:tr>
      <w:tr>
        <w:tc>
          <w:tcPr>
            <w:tcW w:type="dxa" w:w="4997"/>
            <w:vAlign w:val="center"/>
          </w:tcPr>
          <w:p>
            <w:pPr>
              <w:spacing w:after="20"/>
            </w:pPr>
            <w:r/>
            <w:r>
              <w:rPr>
                <w:rFonts w:ascii="Aptos" w:hAnsi="Aptos"/>
                <w:b/>
                <w:sz w:val="16"/>
              </w:rPr>
              <w:t>VERIFYING</w:t>
            </w:r>
          </w:p>
        </w:tc>
        <w:tc>
          <w:tcPr>
            <w:tcW w:type="dxa" w:w="4997"/>
            <w:vAlign w:val="center"/>
          </w:tcPr>
          <w:p>
            <w:pPr>
              <w:spacing w:after="20"/>
            </w:pPr>
            <w:r/>
            <w:r>
              <w:rPr>
                <w:rFonts w:ascii="Aptos" w:hAnsi="Aptos"/>
                <w:b w:val="0"/>
                <w:sz w:val="16"/>
              </w:rPr>
              <w:t>Claim-level support and citation verification in progress.</w:t>
            </w:r>
          </w:p>
        </w:tc>
      </w:tr>
      <w:tr>
        <w:tc>
          <w:tcPr>
            <w:tcW w:type="dxa" w:w="4997"/>
            <w:vAlign w:val="center"/>
          </w:tcPr>
          <w:p>
            <w:pPr>
              <w:spacing w:after="20"/>
            </w:pPr>
            <w:r/>
            <w:r>
              <w:rPr>
                <w:rFonts w:ascii="Aptos" w:hAnsi="Aptos"/>
                <w:b/>
                <w:sz w:val="16"/>
              </w:rPr>
              <w:t>REVISION_REQUIRED</w:t>
            </w:r>
          </w:p>
        </w:tc>
        <w:tc>
          <w:tcPr>
            <w:tcW w:type="dxa" w:w="4997"/>
            <w:vAlign w:val="center"/>
          </w:tcPr>
          <w:p>
            <w:pPr>
              <w:spacing w:after="20"/>
            </w:pPr>
            <w:r/>
            <w:r>
              <w:rPr>
                <w:rFonts w:ascii="Aptos" w:hAnsi="Aptos"/>
                <w:b w:val="0"/>
                <w:sz w:val="16"/>
              </w:rPr>
              <w:t>A failed check has a specific, actionable correction.</w:t>
            </w:r>
          </w:p>
        </w:tc>
      </w:tr>
      <w:tr>
        <w:tc>
          <w:tcPr>
            <w:tcW w:type="dxa" w:w="4997"/>
            <w:vAlign w:val="center"/>
          </w:tcPr>
          <w:p>
            <w:pPr>
              <w:spacing w:after="20"/>
            </w:pPr>
            <w:r/>
            <w:r>
              <w:rPr>
                <w:rFonts w:ascii="Aptos" w:hAnsi="Aptos"/>
                <w:b/>
                <w:sz w:val="16"/>
              </w:rPr>
              <w:t>QUALITY_CHECKING</w:t>
            </w:r>
          </w:p>
        </w:tc>
        <w:tc>
          <w:tcPr>
            <w:tcW w:type="dxa" w:w="4997"/>
            <w:vAlign w:val="center"/>
          </w:tcPr>
          <w:p>
            <w:pPr>
              <w:spacing w:after="20"/>
            </w:pPr>
            <w:r/>
            <w:r>
              <w:rPr>
                <w:rFonts w:ascii="Aptos" w:hAnsi="Aptos"/>
                <w:b w:val="0"/>
                <w:sz w:val="16"/>
              </w:rPr>
              <w:t>Editorial, similarity, link, media, SEO and technical checks run.</w:t>
            </w:r>
          </w:p>
        </w:tc>
      </w:tr>
      <w:tr>
        <w:tc>
          <w:tcPr>
            <w:tcW w:type="dxa" w:w="4997"/>
            <w:vAlign w:val="center"/>
          </w:tcPr>
          <w:p>
            <w:pPr>
              <w:spacing w:after="20"/>
            </w:pPr>
            <w:r/>
            <w:r>
              <w:rPr>
                <w:rFonts w:ascii="Aptos" w:hAnsi="Aptos"/>
                <w:b/>
                <w:sz w:val="16"/>
              </w:rPr>
              <w:t>APPROVED_FOR_DRAFT</w:t>
            </w:r>
          </w:p>
        </w:tc>
        <w:tc>
          <w:tcPr>
            <w:tcW w:type="dxa" w:w="4997"/>
            <w:vAlign w:val="center"/>
          </w:tcPr>
          <w:p>
            <w:pPr>
              <w:spacing w:after="20"/>
            </w:pPr>
            <w:r/>
            <w:r>
              <w:rPr>
                <w:rFonts w:ascii="Aptos" w:hAnsi="Aptos"/>
                <w:b w:val="0"/>
                <w:sz w:val="16"/>
              </w:rPr>
              <w:t>All gates passed for a non-public draft.</w:t>
            </w:r>
          </w:p>
        </w:tc>
      </w:tr>
      <w:tr>
        <w:tc>
          <w:tcPr>
            <w:tcW w:type="dxa" w:w="4997"/>
            <w:vAlign w:val="center"/>
          </w:tcPr>
          <w:p>
            <w:pPr>
              <w:spacing w:after="20"/>
            </w:pPr>
            <w:r/>
            <w:r>
              <w:rPr>
                <w:rFonts w:ascii="Aptos" w:hAnsi="Aptos"/>
                <w:b/>
                <w:sz w:val="16"/>
              </w:rPr>
              <w:t>APPROVED_FOR_PUBLICATION</w:t>
            </w:r>
          </w:p>
        </w:tc>
        <w:tc>
          <w:tcPr>
            <w:tcW w:type="dxa" w:w="4997"/>
            <w:vAlign w:val="center"/>
          </w:tcPr>
          <w:p>
            <w:pPr>
              <w:spacing w:after="20"/>
            </w:pPr>
            <w:r/>
            <w:r>
              <w:rPr>
                <w:rFonts w:ascii="Aptos" w:hAnsi="Aptos"/>
                <w:b w:val="0"/>
                <w:sz w:val="16"/>
              </w:rPr>
              <w:t>All mandatory gates passed and site policy permits unattended publishing.</w:t>
            </w:r>
          </w:p>
        </w:tc>
      </w:tr>
      <w:tr>
        <w:tc>
          <w:tcPr>
            <w:tcW w:type="dxa" w:w="4997"/>
            <w:vAlign w:val="center"/>
          </w:tcPr>
          <w:p>
            <w:pPr>
              <w:spacing w:after="20"/>
            </w:pPr>
            <w:r/>
            <w:r>
              <w:rPr>
                <w:rFonts w:ascii="Aptos" w:hAnsi="Aptos"/>
                <w:b/>
                <w:sz w:val="16"/>
              </w:rPr>
              <w:t>PUBLISHING</w:t>
            </w:r>
          </w:p>
        </w:tc>
        <w:tc>
          <w:tcPr>
            <w:tcW w:type="dxa" w:w="4997"/>
            <w:vAlign w:val="center"/>
          </w:tcPr>
          <w:p>
            <w:pPr>
              <w:spacing w:after="20"/>
            </w:pPr>
            <w:r/>
            <w:r>
              <w:rPr>
                <w:rFonts w:ascii="Aptos" w:hAnsi="Aptos"/>
                <w:b w:val="0"/>
                <w:sz w:val="16"/>
              </w:rPr>
              <w:t>A publish operation with an idempotency key is in progress.</w:t>
            </w:r>
          </w:p>
        </w:tc>
      </w:tr>
      <w:tr>
        <w:tc>
          <w:tcPr>
            <w:tcW w:type="dxa" w:w="4997"/>
            <w:vAlign w:val="center"/>
          </w:tcPr>
          <w:p>
            <w:pPr>
              <w:spacing w:after="20"/>
            </w:pPr>
            <w:r/>
            <w:r>
              <w:rPr>
                <w:rFonts w:ascii="Aptos" w:hAnsi="Aptos"/>
                <w:b/>
                <w:sz w:val="16"/>
              </w:rPr>
              <w:t>PUBLISHED</w:t>
            </w:r>
          </w:p>
        </w:tc>
        <w:tc>
          <w:tcPr>
            <w:tcW w:type="dxa" w:w="4997"/>
            <w:vAlign w:val="center"/>
          </w:tcPr>
          <w:p>
            <w:pPr>
              <w:spacing w:after="20"/>
            </w:pPr>
            <w:r/>
            <w:r>
              <w:rPr>
                <w:rFonts w:ascii="Aptos" w:hAnsi="Aptos"/>
                <w:b w:val="0"/>
                <w:sz w:val="16"/>
              </w:rPr>
              <w:t>Remote site confirms publication and canonical URL.</w:t>
            </w:r>
          </w:p>
        </w:tc>
      </w:tr>
      <w:tr>
        <w:tc>
          <w:tcPr>
            <w:tcW w:type="dxa" w:w="4997"/>
            <w:vAlign w:val="center"/>
          </w:tcPr>
          <w:p>
            <w:pPr>
              <w:spacing w:after="20"/>
            </w:pPr>
            <w:r/>
            <w:r>
              <w:rPr>
                <w:rFonts w:ascii="Aptos" w:hAnsi="Aptos"/>
                <w:b/>
                <w:sz w:val="16"/>
              </w:rPr>
              <w:t>QUARANTINED</w:t>
            </w:r>
          </w:p>
        </w:tc>
        <w:tc>
          <w:tcPr>
            <w:tcW w:type="dxa" w:w="4997"/>
            <w:vAlign w:val="center"/>
          </w:tcPr>
          <w:p>
            <w:pPr>
              <w:spacing w:after="20"/>
            </w:pPr>
            <w:r/>
            <w:r>
              <w:rPr>
                <w:rFonts w:ascii="Aptos" w:hAnsi="Aptos"/>
                <w:b w:val="0"/>
                <w:sz w:val="16"/>
              </w:rPr>
              <w:t>Unsafe, unsupported, duplicated, ambiguous or repeatedly failing job.</w:t>
            </w:r>
          </w:p>
        </w:tc>
      </w:tr>
      <w:tr>
        <w:tc>
          <w:tcPr>
            <w:tcW w:type="dxa" w:w="4997"/>
            <w:vAlign w:val="center"/>
          </w:tcPr>
          <w:p>
            <w:pPr>
              <w:spacing w:after="20"/>
            </w:pPr>
            <w:r/>
            <w:r>
              <w:rPr>
                <w:rFonts w:ascii="Aptos" w:hAnsi="Aptos"/>
                <w:b/>
                <w:sz w:val="16"/>
              </w:rPr>
              <w:t>FAILED_RETRYABLE</w:t>
            </w:r>
          </w:p>
        </w:tc>
        <w:tc>
          <w:tcPr>
            <w:tcW w:type="dxa" w:w="4997"/>
            <w:vAlign w:val="center"/>
          </w:tcPr>
          <w:p>
            <w:pPr>
              <w:spacing w:after="20"/>
            </w:pPr>
            <w:r/>
            <w:r>
              <w:rPr>
                <w:rFonts w:ascii="Aptos" w:hAnsi="Aptos"/>
                <w:b w:val="0"/>
                <w:sz w:val="16"/>
              </w:rPr>
              <w:t>Transient error may be retried under bounded policy.</w:t>
            </w:r>
          </w:p>
        </w:tc>
      </w:tr>
      <w:tr>
        <w:tc>
          <w:tcPr>
            <w:tcW w:type="dxa" w:w="4997"/>
            <w:vAlign w:val="center"/>
          </w:tcPr>
          <w:p>
            <w:pPr>
              <w:spacing w:after="20"/>
            </w:pPr>
            <w:r/>
            <w:r>
              <w:rPr>
                <w:rFonts w:ascii="Aptos" w:hAnsi="Aptos"/>
                <w:b/>
                <w:sz w:val="16"/>
              </w:rPr>
              <w:t>FAILED_TERMINAL</w:t>
            </w:r>
          </w:p>
        </w:tc>
        <w:tc>
          <w:tcPr>
            <w:tcW w:type="dxa" w:w="4997"/>
            <w:vAlign w:val="center"/>
          </w:tcPr>
          <w:p>
            <w:pPr>
              <w:spacing w:after="20"/>
            </w:pPr>
            <w:r/>
            <w:r>
              <w:rPr>
                <w:rFonts w:ascii="Aptos" w:hAnsi="Aptos"/>
                <w:b w:val="0"/>
                <w:sz w:val="16"/>
              </w:rPr>
              <w:t>Configuration, policy or permanent validation error requires code/config change.</w:t>
            </w:r>
          </w:p>
        </w:tc>
      </w:tr>
    </w:tbl>
    <w:p>
      <w:pPr>
        <w:pStyle w:val="ListBullet"/>
        <w:spacing w:after="40"/>
      </w:pPr>
      <w:r>
        <w:t>Every transition must be validated and logged; invalid transitions are rejected.</w:t>
      </w:r>
    </w:p>
    <w:p>
      <w:pPr>
        <w:pStyle w:val="ListBullet"/>
        <w:spacing w:after="40"/>
      </w:pPr>
      <w:r>
        <w:t>Each job has a unique job ID, site ID, brief ID, config version, content version, and idempotency key.</w:t>
      </w:r>
    </w:p>
    <w:p>
      <w:pPr>
        <w:pStyle w:val="ListBullet"/>
        <w:spacing w:after="40"/>
      </w:pPr>
      <w:r>
        <w:t>Use database transactions or compare-and-swap/locking where needed to prevent duplicate work and double publishing.</w:t>
      </w:r>
    </w:p>
    <w:p>
      <w:pPr>
        <w:pStyle w:val="ListBullet"/>
        <w:spacing w:after="40"/>
      </w:pPr>
      <w:r>
        <w:t>Retry only transient errors (timeouts, rate limits, temporary 5xx). Do not endlessly retry invalid citations, unsupported claims, schema failures, or policy violations.</w:t>
      </w:r>
    </w:p>
    <w:p>
      <w:pPr>
        <w:pStyle w:val="ListBullet"/>
        <w:spacing w:after="40"/>
      </w:pPr>
      <w:r>
        <w:t>Use bounded exponential backoff with jitter, max attempts, and a dead-letter/quarantine path.</w:t>
      </w:r>
    </w:p>
    <w:p>
      <w:pPr>
        <w:pStyle w:val="ListBullet"/>
        <w:spacing w:after="40"/>
      </w:pPr>
      <w:r>
        <w:t>A re-run after a crash must resume at the last verified checkpoint rather than silently regenerating every previous stage.</w:t>
      </w:r>
    </w:p>
    <w:p>
      <w:pPr>
        <w:pStyle w:val="ListBullet"/>
        <w:spacing w:after="40"/>
      </w:pPr>
      <w:r>
        <w:t>Store stage input/output hashes and versions to support reproducibility and detect stale validation.</w:t>
      </w:r>
    </w:p>
    <w:p>
      <w:pPr>
        <w:pStyle w:val="Heading1"/>
      </w:pPr>
      <w:r>
        <w:t>7. Research system: sources before prose</w:t>
      </w:r>
    </w:p>
    <w:p>
      <w:r>
        <w:t>The model must not be asked to write a factual article from general knowledge and then decorate it with citations. Research comes first. Search results identify candidate sources; they are not themselves evidence for claims unless the source page is unavailable and the policy explicitly permits a snippet for a limited purpose.</w:t>
      </w:r>
    </w:p>
    <w:p>
      <w:pPr>
        <w:pStyle w:val="Heading2"/>
      </w:pPr>
      <w:r>
        <w:t>7.1 Research plan</w:t>
      </w:r>
    </w:p>
    <w:p>
      <w:pPr>
        <w:pStyle w:val="ListNumber"/>
        <w:spacing w:after="40"/>
      </w:pPr>
      <w:r>
        <w:t>Convert the brief into questions the page must answer, decision points, likely misconceptions, user risks, and claims requiring strong evidence.</w:t>
      </w:r>
    </w:p>
    <w:p>
      <w:pPr>
        <w:pStyle w:val="ListNumber"/>
        <w:spacing w:after="40"/>
      </w:pPr>
      <w:r>
        <w:t>Identify the intended search intent and user task. State what would make this page materially more useful than existing pages.</w:t>
      </w:r>
    </w:p>
    <w:p>
      <w:pPr>
        <w:pStyle w:val="ListNumber"/>
        <w:spacing w:after="40"/>
      </w:pPr>
      <w:r>
        <w:t>Choose source types appropriate to the niche: primary documents, official guidance, peer-reviewed research, standards, first-party data, or reputable reporting.</w:t>
      </w:r>
    </w:p>
    <w:p>
      <w:pPr>
        <w:pStyle w:val="ListNumber"/>
        <w:spacing w:after="40"/>
      </w:pPr>
      <w:r>
        <w:t>Set a freshness window based on subject volatility. Current law, prices, policies, product availability, and medical/scientific claims need stricter recency rules than stable background explanations.</w:t>
      </w:r>
    </w:p>
    <w:p>
      <w:pPr>
        <w:pStyle w:val="ListNumber"/>
        <w:spacing w:after="40"/>
      </w:pPr>
      <w:r>
        <w:t>Retrieve full source content where permitted; capture title, author/organization, publication/update date, URL, DOI/identifier, access date, relevant passages, and content hash.</w:t>
      </w:r>
    </w:p>
    <w:p>
      <w:pPr>
        <w:pStyle w:val="ListNumber"/>
        <w:spacing w:after="40"/>
      </w:pPr>
      <w:r>
        <w:t>Record failed, blocked, contradictory, and unavailable sources honestly; never claim to have read a source that could not be accessed.</w:t>
      </w:r>
    </w:p>
    <w:p>
      <w:pPr>
        <w:pStyle w:val="Heading2"/>
      </w:pPr>
      <w:r>
        <w:t>7.2 Source trust and evidence ledger</w:t>
      </w:r>
    </w:p>
    <w:p>
      <w:r>
        <w:t>Every material factual claim must have a structured evidence record with at least: claim_id; exact claim text; claim type; source IDs; source passage(s); source URL and identifier; date; evidence strength; whether the source directly supports the claim; caveats; conflict status; reviewer/checker result.</w:t>
      </w:r>
    </w:p>
    <w:p>
      <w:pPr>
        <w:pStyle w:val="ListBullet"/>
        <w:spacing w:after="40"/>
      </w:pPr>
      <w:r>
        <w:t>Distinguish direct evidence, reasonable inference, background context, opinion/recommendation, and unsupported claim.</w:t>
      </w:r>
    </w:p>
    <w:p>
      <w:pPr>
        <w:pStyle w:val="ListBullet"/>
        <w:spacing w:after="40"/>
      </w:pPr>
      <w:r>
        <w:t>A source being real does not mean it supports the claim. Verify both source existence and semantic support.</w:t>
      </w:r>
    </w:p>
    <w:p>
      <w:pPr>
        <w:pStyle w:val="ListBullet"/>
        <w:spacing w:after="40"/>
      </w:pPr>
      <w:r>
        <w:t>When sources conflict, preserve the conflict and qualify the statement; do not silently select the source that makes the draft sound more certain.</w:t>
      </w:r>
    </w:p>
    <w:p>
      <w:pPr>
        <w:pStyle w:val="ListBullet"/>
        <w:spacing w:after="40"/>
      </w:pPr>
      <w:r>
        <w:t>Do not manufacture exact percentages, sample sizes, prices, timeframes, quotations, study outcomes, test results, personal anecdotes, or first-party observations.</w:t>
      </w:r>
    </w:p>
    <w:p>
      <w:pPr>
        <w:pStyle w:val="ListBullet"/>
        <w:spacing w:after="40"/>
      </w:pPr>
      <w:r>
        <w:t>If the required evidence cannot be found, narrow the claim, label uncertainty, omit the claim, or quarantine the article.</w:t>
      </w:r>
    </w:p>
    <w:p>
      <w:pPr>
        <w:pStyle w:val="Heading2"/>
      </w:pPr>
      <w:r>
        <w:t>7.3 Citation integrity</w:t>
      </w:r>
    </w:p>
    <w:p>
      <w:pPr>
        <w:pStyle w:val="ListBullet"/>
        <w:spacing w:after="40"/>
      </w:pPr>
      <w:r>
        <w:t>Resolve DOI/PMID/official document IDs through appropriate authoritative metadata services where available.</w:t>
      </w:r>
    </w:p>
    <w:p>
      <w:pPr>
        <w:pStyle w:val="ListBullet"/>
        <w:spacing w:after="40"/>
      </w:pPr>
      <w:r>
        <w:t>Compare title, authors, year, journal/publisher and identifier; a valid ID attached to the wrong title is a hard failure.</w:t>
      </w:r>
    </w:p>
    <w:p>
      <w:pPr>
        <w:pStyle w:val="ListBullet"/>
        <w:spacing w:after="40"/>
      </w:pPr>
      <w:r>
        <w:t>Fetch the source and verify that it supports the cited statement, not merely that the topic sounds similar.</w:t>
      </w:r>
    </w:p>
    <w:p>
      <w:pPr>
        <w:pStyle w:val="ListBullet"/>
        <w:spacing w:after="40"/>
      </w:pPr>
      <w:r>
        <w:t>Never invent bibliographic details, URLs, quotes, page numbers, authors, institutions, or study findings.</w:t>
      </w:r>
    </w:p>
    <w:p>
      <w:pPr>
        <w:pStyle w:val="ListBullet"/>
        <w:spacing w:after="40"/>
      </w:pPr>
      <w:r>
        <w:t>Use a claim-to-source map internally even if the rendered article uses conventional inline citations or a references section.</w:t>
      </w:r>
    </w:p>
    <w:p>
      <w:pPr>
        <w:pStyle w:val="ListBullet"/>
        <w:spacing w:after="40"/>
      </w:pPr>
      <w:r>
        <w:t>If an authoritative source cannot be validated, do not include it as a verified citation.</w:t>
      </w:r>
    </w:p>
    <w:p>
      <w:pPr>
        <w:pStyle w:val="Heading1"/>
      </w:pPr>
      <w:r>
        <w:t>8. OpenRouter model discovery and routing</w:t>
      </w:r>
    </w:p>
    <w:p>
      <w:r>
        <w:t>The coding agent must consult the current official OpenRouter API documentation during implementation and verify the current model-list endpoint, response schema, provider parameters, usage/cost fields, rate-limit behavior, and structured-output support. Do not assume a model is available because its name appears in an old prompt or example.</w:t>
      </w:r>
    </w:p>
    <w:p>
      <w:pPr>
        <w:pStyle w:val="ListBullet"/>
        <w:spacing w:after="40"/>
      </w:pPr>
      <w:r>
        <w:t>Discover available models from the live model catalog at a controlled interval; cache results with a timestamp and expire the cache.</w:t>
      </w:r>
    </w:p>
    <w:p>
      <w:pPr>
        <w:pStyle w:val="ListBullet"/>
        <w:spacing w:after="40"/>
      </w:pPr>
      <w:r>
        <w:t>Build a capability registry from documented metadata and tested behavior: context length, modalities, structured output/tool support, provider availability, latency, cost and known constraints.</w:t>
      </w:r>
    </w:p>
    <w:p>
      <w:pPr>
        <w:pStyle w:val="ListBullet"/>
        <w:spacing w:after="40"/>
      </w:pPr>
      <w:r>
        <w:t>Benchmark a small candidate set against the same domain-specific test corpus. Select by factual support, instruction adherence, source fidelity, editorial quality, stability and cost—not leaderboard position alone.</w:t>
      </w:r>
    </w:p>
    <w:p>
      <w:pPr>
        <w:pStyle w:val="ListBullet"/>
        <w:spacing w:after="40"/>
      </w:pPr>
      <w:r>
        <w:t>Use separate roles where useful: research planner, drafter, verifier/critic, editor. Independent roles must not all merely repeat the same unsupported premise.</w:t>
      </w:r>
    </w:p>
    <w:p>
      <w:pPr>
        <w:pStyle w:val="ListBullet"/>
        <w:spacing w:after="40"/>
      </w:pPr>
      <w:r>
        <w:t>A second model is not an oracle. High-risk claims need source-level verification, not just another model's agreement.</w:t>
      </w:r>
    </w:p>
    <w:p>
      <w:pPr>
        <w:pStyle w:val="ListBullet"/>
        <w:spacing w:after="40"/>
      </w:pPr>
      <w:r>
        <w:t>Fallbacks must be prequalified. A fallback may not bypass a failed quality gate or silently lower standards.</w:t>
      </w:r>
    </w:p>
    <w:p>
      <w:pPr>
        <w:pStyle w:val="ListBullet"/>
        <w:spacing w:after="40"/>
      </w:pPr>
      <w:r>
        <w:t>Pin model IDs and policy versions per job for reproducibility, while allowing controlled upgrades through evaluation and regression tests.</w:t>
      </w:r>
    </w:p>
    <w:p>
      <w:pPr>
        <w:pStyle w:val="ListBullet"/>
        <w:spacing w:after="40"/>
      </w:pPr>
      <w:r>
        <w:t>Log model ID, provider, request parameters, token usage, latency, finish reason and cost. Redact secrets and unnecessary personal data.</w:t>
      </w:r>
    </w:p>
    <w:p>
      <w:pPr>
        <w:pStyle w:val="ListBullet"/>
        <w:spacing w:after="40"/>
      </w:pPr>
      <w:r>
        <w:t>Handle rate limits, provider outages, malformed outputs, refusal responses, context truncation and empty content explicitly.</w:t>
      </w:r>
    </w:p>
    <w:p>
      <w:r>
        <w:t>Official starting points for the coding agent to verify at build time: https://openrouter.ai/docs and https://openrouter.ai/docs/api/api-reference/models/get-models. These are references, not permission to assume today's API behavior without testing.</w:t>
      </w:r>
    </w:p>
    <w:p>
      <w:pPr>
        <w:pStyle w:val="Heading1"/>
      </w:pPr>
      <w:r>
        <w:t>9. Article production: create value, not word count</w:t>
      </w:r>
    </w:p>
    <w:p>
      <w:pPr>
        <w:pStyle w:val="Heading2"/>
      </w:pPr>
      <w:r>
        <w:t>9.1 Mandatory article brief</w:t>
      </w:r>
    </w:p>
    <w:p>
      <w:pPr>
        <w:pStyle w:val="ListBullet"/>
        <w:spacing w:after="40"/>
      </w:pPr>
      <w:r>
        <w:t>Target reader, their situation, and the decision/task they need to complete.</w:t>
      </w:r>
    </w:p>
    <w:p>
      <w:pPr>
        <w:pStyle w:val="ListBullet"/>
        <w:spacing w:after="40"/>
      </w:pPr>
      <w:r>
        <w:t>Primary intent and the scope boundaries of the page.</w:t>
      </w:r>
    </w:p>
    <w:p>
      <w:pPr>
        <w:pStyle w:val="ListBullet"/>
        <w:spacing w:after="40"/>
      </w:pPr>
      <w:r>
        <w:t>Questions that must be answered, in order of importance.</w:t>
      </w:r>
    </w:p>
    <w:p>
      <w:pPr>
        <w:pStyle w:val="ListBullet"/>
        <w:spacing w:after="40"/>
      </w:pPr>
      <w:r>
        <w:t>Evidence-backed differentiators and the information gap the page fills.</w:t>
      </w:r>
    </w:p>
    <w:p>
      <w:pPr>
        <w:pStyle w:val="ListBullet"/>
        <w:spacing w:after="40"/>
      </w:pPr>
      <w:r>
        <w:t>What the article will not claim or cover.</w:t>
      </w:r>
    </w:p>
    <w:p>
      <w:pPr>
        <w:pStyle w:val="ListBullet"/>
        <w:spacing w:after="40"/>
      </w:pPr>
      <w:r>
        <w:t>Appropriate call to action, if one is genuinely useful, and why it fits the reader's next step.</w:t>
      </w:r>
    </w:p>
    <w:p>
      <w:pPr>
        <w:pStyle w:val="ListBullet"/>
        <w:spacing w:after="40"/>
      </w:pPr>
      <w:r>
        <w:t>Internal pages that can help the reader continue, selected from the target site's verified inventory.</w:t>
      </w:r>
    </w:p>
    <w:p>
      <w:pPr>
        <w:pStyle w:val="ListBullet"/>
        <w:spacing w:after="40"/>
      </w:pPr>
      <w:r>
        <w:t>Required disclosures, caveats, definitions, and date/freshness handling.</w:t>
      </w:r>
    </w:p>
    <w:p>
      <w:pPr>
        <w:pStyle w:val="Heading2"/>
      </w:pPr>
      <w:r>
        <w:t>9.2 Editorial rules</w:t>
      </w:r>
    </w:p>
    <w:p>
      <w:pPr>
        <w:pStyle w:val="ListBullet"/>
        <w:spacing w:after="40"/>
      </w:pPr>
      <w:r>
        <w:t>Lead with the answer or useful orientation. Do not bury the answer under generic introductions.</w:t>
      </w:r>
    </w:p>
    <w:p>
      <w:pPr>
        <w:pStyle w:val="ListBullet"/>
        <w:spacing w:after="40"/>
      </w:pPr>
      <w:r>
        <w:t>Every section must answer a distinct reader question, explain a mechanism, compare meaningful options, interpret evidence, or help the reader act.</w:t>
      </w:r>
    </w:p>
    <w:p>
      <w:pPr>
        <w:pStyle w:val="ListBullet"/>
        <w:spacing w:after="40"/>
      </w:pPr>
      <w:r>
        <w:t>Delete filler, repeated conclusions, fake suspense, fake quotes, empty transitions, generic 'in today's world' openings, and headings that promise more than the section delivers.</w:t>
      </w:r>
    </w:p>
    <w:p>
      <w:pPr>
        <w:pStyle w:val="ListBullet"/>
        <w:spacing w:after="40"/>
      </w:pPr>
      <w:r>
        <w:t>Avoid uniform formulaic section lengths, repeated paragraph patterns, forced rhetorical questions, canned summaries, and needless restatement of the heading.</w:t>
      </w:r>
    </w:p>
    <w:p>
      <w:pPr>
        <w:pStyle w:val="ListBullet"/>
        <w:spacing w:after="40"/>
      </w:pPr>
      <w:r>
        <w:t>Use precise, natural language appropriate to the audience. Vary structure because the information calls for it—not through random stylistic noise.</w:t>
      </w:r>
    </w:p>
    <w:p>
      <w:pPr>
        <w:pStyle w:val="ListBullet"/>
        <w:spacing w:after="40"/>
      </w:pPr>
      <w:r>
        <w:t>Use tables only when they improve comparison or scanability; every cell must be complete, sourced where necessary, and meaningful.</w:t>
      </w:r>
    </w:p>
    <w:p>
      <w:pPr>
        <w:pStyle w:val="ListBullet"/>
        <w:spacing w:after="40"/>
      </w:pPr>
      <w:r>
        <w:t>Do not invent firsthand testing, interviews, professional experience, original data, expert review, or authorship.</w:t>
      </w:r>
    </w:p>
    <w:p>
      <w:pPr>
        <w:pStyle w:val="ListBullet"/>
        <w:spacing w:after="40"/>
      </w:pPr>
      <w:r>
        <w:t>Include limitations and counterarguments where they materially change the reader's understanding.</w:t>
      </w:r>
    </w:p>
    <w:p>
      <w:pPr>
        <w:pStyle w:val="ListBullet"/>
        <w:spacing w:after="40"/>
      </w:pPr>
      <w:r>
        <w:t>Use a persuasive CTA only when it is relevant, transparent, proportionate, and genuinely helps the reader. No fake urgency, fabricated scarcity, fear tactics, or disguised advertising.</w:t>
      </w:r>
    </w:p>
    <w:p>
      <w:pPr>
        <w:pStyle w:val="ListBullet"/>
        <w:spacing w:after="40"/>
      </w:pPr>
      <w:r>
        <w:t>There is no fixed minimum word count. Stop when the reader's job is done.</w:t>
      </w:r>
    </w:p>
    <w:p>
      <w:pPr>
        <w:pStyle w:val="Heading2"/>
      </w:pPr>
      <w:r>
        <w:t>9.3 Original contribution requirement</w:t>
      </w:r>
    </w:p>
    <w:p>
      <w:r>
        <w:t>Before drafting, require the system to define the page's unique contribution in one or two concrete sentences. Valid contributions may include a transparent comparison, synthesis of conflicting sources, a useful decision framework, a carefully explained example, a verified local/service process, original calculations from disclosed inputs, or a clearer explanation of evidence limitations. If no meaningful contribution can be identified, merge the topic into a stronger existing page, revise the brief, or do not publish.</w:t>
      </w:r>
    </w:p>
    <w:p>
      <w:r>
        <w:t>Original contribution must be genuine. Do not label a generic summary as original research, first-hand experience, testing, expert analysis, or unique data.</w:t>
      </w:r>
    </w:p>
    <w:p>
      <w:pPr>
        <w:pStyle w:val="Heading1"/>
      </w:pPr>
      <w:r>
        <w:t>10. Claim verification and anti-hallucination gates</w:t>
      </w:r>
    </w:p>
    <w:p>
      <w:r>
        <w:t>Run verification against the rendered draft, not just the original draft. Every material claim must be classified and tested.</w:t>
      </w:r>
    </w:p>
    <w:p>
      <w:pPr>
        <w:pStyle w:val="ListBullet"/>
        <w:spacing w:after="40"/>
      </w:pPr>
      <w:r>
        <w:t>Extract atomic factual claims from headings, paragraphs, lists, tables, captions, alt text, metadata and schema.</w:t>
      </w:r>
    </w:p>
    <w:p>
      <w:pPr>
        <w:pStyle w:val="ListBullet"/>
        <w:spacing w:after="40"/>
      </w:pPr>
      <w:r>
        <w:t>Match each claim to the evidence ledger. Confirm the cited source passage supports the exact wording and level of certainty.</w:t>
      </w:r>
    </w:p>
    <w:p>
      <w:pPr>
        <w:pStyle w:val="ListBullet"/>
        <w:spacing w:after="40"/>
      </w:pPr>
      <w:r>
        <w:t>Flag unsupported specifics, incorrect attributions, numerical inconsistencies, unqualified causal claims, contradictions, and claims outside source scope.</w:t>
      </w:r>
    </w:p>
    <w:p>
      <w:pPr>
        <w:pStyle w:val="ListBullet"/>
        <w:spacing w:after="40"/>
      </w:pPr>
      <w:r>
        <w:t>Check that quotations are exact and within applicable quotation/copyright policy; paraphrases must be independently written and accurately attributed.</w:t>
      </w:r>
    </w:p>
    <w:p>
      <w:pPr>
        <w:pStyle w:val="ListBullet"/>
        <w:spacing w:after="40"/>
      </w:pPr>
      <w:r>
        <w:t>Verify all names, dates, locations, units, formulas, ranges, and calculations. Recalculate numerical outputs programmatically where possible.</w:t>
      </w:r>
    </w:p>
    <w:p>
      <w:pPr>
        <w:pStyle w:val="ListBullet"/>
        <w:spacing w:after="40"/>
      </w:pPr>
      <w:r>
        <w:t>Run cross-section consistency checks for definitions, units, dates, values, methods, conclusions and terminology.</w:t>
      </w:r>
    </w:p>
    <w:p>
      <w:pPr>
        <w:pStyle w:val="ListBullet"/>
        <w:spacing w:after="40"/>
      </w:pPr>
      <w:r>
        <w:t>For high-risk topics, require stronger evidence, current authoritative sources, explicit caveats, and an appropriate review policy.</w:t>
      </w:r>
    </w:p>
    <w:p>
      <w:pPr>
        <w:pStyle w:val="ListBullet"/>
        <w:spacing w:after="40"/>
      </w:pPr>
      <w:r>
        <w:t>If any critical claim fails, revise or quarantine. A numeric average score cannot override a hard failure.</w:t>
      </w:r>
    </w:p>
    <w:p>
      <w:pPr>
        <w:pStyle w:val="Heading1"/>
      </w:pPr>
      <w:r>
        <w:t>11. Originality and plagiarism prevention</w:t>
      </w:r>
    </w:p>
    <w:p>
      <w:r>
        <w:t>No available similarity service can prove that a text has never appeared anywhere. The system must therefore combine source-aware writing, overlap checks, attribution, and conservative publication rules.</w:t>
      </w:r>
    </w:p>
    <w:p>
      <w:pPr>
        <w:pStyle w:val="ListBullet"/>
        <w:spacing w:after="40"/>
      </w:pPr>
      <w:r>
        <w:t>Keep source passages separate from draft text and instruct the model to synthesize evidence rather than mimic source phrasing or structure.</w:t>
      </w:r>
    </w:p>
    <w:p>
      <w:pPr>
        <w:pStyle w:val="ListBullet"/>
        <w:spacing w:after="40"/>
      </w:pPr>
      <w:r>
        <w:t>Compare drafts against fetched sources, the target site's published pages, other drafts in the queue, and other network sites for accidental duplication.</w:t>
      </w:r>
    </w:p>
    <w:p>
      <w:pPr>
        <w:pStyle w:val="ListBullet"/>
        <w:spacing w:after="40"/>
      </w:pPr>
      <w:r>
        <w:t>Use both exact/near-exact phrase overlap and semantic similarity as review signals; semantic similarity alone is not proof of plagiarism.</w:t>
      </w:r>
    </w:p>
    <w:p>
      <w:pPr>
        <w:pStyle w:val="ListBullet"/>
        <w:spacing w:after="40"/>
      </w:pPr>
      <w:r>
        <w:t>Treat common phrases, technical terminology, legal/official wording and properly attributed quotations differently from distinctive copied prose.</w:t>
      </w:r>
    </w:p>
    <w:p>
      <w:pPr>
        <w:pStyle w:val="ListBullet"/>
        <w:spacing w:after="40"/>
      </w:pPr>
      <w:r>
        <w:t>Flag long distinctive phrase matches, copied section order, paraphrase too close to a source, and reused network-wide paragraphs.</w:t>
      </w:r>
    </w:p>
    <w:p>
      <w:pPr>
        <w:pStyle w:val="ListBullet"/>
        <w:spacing w:after="40"/>
      </w:pPr>
      <w:r>
        <w:t>Require attribution for borrowed facts, ideas, quotations, datasets and methods according to the niche's editorial standards.</w:t>
      </w:r>
    </w:p>
    <w:p>
      <w:pPr>
        <w:pStyle w:val="ListBullet"/>
        <w:spacing w:after="40"/>
      </w:pPr>
      <w:r>
        <w:t>Store a similarity report with matched passages, source URL, overlap type, severity, and disposition.</w:t>
      </w:r>
    </w:p>
    <w:p>
      <w:pPr>
        <w:pStyle w:val="ListBullet"/>
        <w:spacing w:after="40"/>
      </w:pPr>
      <w:r>
        <w:t>A similarity score threshold is configurable and must be calibrated on real examples. Do not claim 'zero plagiarism' solely because a score is low.</w:t>
      </w:r>
    </w:p>
    <w:p>
      <w:pPr>
        <w:pStyle w:val="ListBullet"/>
        <w:spacing w:after="40"/>
      </w:pPr>
      <w:r>
        <w:t>If originality cannot be resolved automatically, quarantine rather than publishing.</w:t>
      </w:r>
    </w:p>
    <w:p>
      <w:pPr>
        <w:pStyle w:val="Heading1"/>
      </w:pPr>
      <w:r>
        <w:t>12. Internal links, media, and site correctness</w:t>
      </w:r>
    </w:p>
    <w:p>
      <w:pPr>
        <w:pStyle w:val="Heading2"/>
      </w:pPr>
      <w:r>
        <w:t>12.1 Internal linking</w:t>
      </w:r>
    </w:p>
    <w:p>
      <w:pPr>
        <w:pStyle w:val="ListBullet"/>
        <w:spacing w:after="40"/>
      </w:pPr>
      <w:r>
        <w:t>Build a per-site inventory from the actual deployed site, CMS/content store, sitemap and/or approved API. Normalize canonicals and deduplicate URLs.</w:t>
      </w:r>
    </w:p>
    <w:p>
      <w:pPr>
        <w:pStyle w:val="ListBullet"/>
        <w:spacing w:after="40"/>
      </w:pPr>
      <w:r>
        <w:t>Check HTTP status, canonical destination, robots/indexability where testable, page relevance, and whether the target is still present.</w:t>
      </w:r>
    </w:p>
    <w:p>
      <w:pPr>
        <w:pStyle w:val="ListBullet"/>
        <w:spacing w:after="40"/>
      </w:pPr>
      <w:r>
        <w:t>Choose links based on semantic usefulness and reader journey—not arbitrary exact-match anchor quotas.</w:t>
      </w:r>
    </w:p>
    <w:p>
      <w:pPr>
        <w:pStyle w:val="ListBullet"/>
        <w:spacing w:after="40"/>
      </w:pPr>
      <w:r>
        <w:t>Never invent slugs, assume a page exists, link across sites as an internal link, or use a URL from another site's inventory.</w:t>
      </w:r>
    </w:p>
    <w:p>
      <w:pPr>
        <w:pStyle w:val="ListBullet"/>
        <w:spacing w:after="40"/>
      </w:pPr>
      <w:r>
        <w:t>Use descriptive, natural anchors. Avoid repetitive exact-match anchors and links that misrepresent the destination.</w:t>
      </w:r>
    </w:p>
    <w:p>
      <w:pPr>
        <w:pStyle w:val="ListBullet"/>
        <w:spacing w:after="40"/>
      </w:pPr>
      <w:r>
        <w:t>Revalidate links immediately before publication and periodically after publication.</w:t>
      </w:r>
    </w:p>
    <w:p>
      <w:pPr>
        <w:pStyle w:val="Heading2"/>
      </w:pPr>
      <w:r>
        <w:t>12.2 Images and media</w:t>
      </w:r>
    </w:p>
    <w:p>
      <w:pPr>
        <w:pStyle w:val="ListBullet"/>
        <w:spacing w:after="40"/>
      </w:pPr>
      <w:r>
        <w:t>Only use images from approved sources with recorded license/permission, attribution requirements and source URL.</w:t>
      </w:r>
    </w:p>
    <w:p>
      <w:pPr>
        <w:pStyle w:val="ListBullet"/>
        <w:spacing w:after="40"/>
      </w:pPr>
      <w:r>
        <w:t>Never reuse an image URL from another site just because it appears in model output or an old template.</w:t>
      </w:r>
    </w:p>
    <w:p>
      <w:pPr>
        <w:pStyle w:val="ListBullet"/>
        <w:spacing w:after="40"/>
      </w:pPr>
      <w:r>
        <w:t>Validate image relevance, dimensions, MIME type, file size, alt text, storage namespace and target-domain ownership.</w:t>
      </w:r>
    </w:p>
    <w:p>
      <w:pPr>
        <w:pStyle w:val="ListBullet"/>
        <w:spacing w:after="40"/>
      </w:pPr>
      <w:r>
        <w:t>Alt text describes the actual image for accessibility; it is not a keyword stuffing field.</w:t>
      </w:r>
    </w:p>
    <w:p>
      <w:pPr>
        <w:pStyle w:val="ListBullet"/>
        <w:spacing w:after="40"/>
      </w:pPr>
      <w:r>
        <w:t>If image generation is used, store generation provenance and verify that the image does not imply real evidence, a real person, a real experiment or a real event that did not occur.</w:t>
      </w:r>
    </w:p>
    <w:p>
      <w:pPr>
        <w:pStyle w:val="ListBullet"/>
        <w:spacing w:after="40"/>
      </w:pPr>
      <w:r>
        <w:t>If the image pipeline fails, omit the optional image or quarantine according to page requirements; never substitute a random URL.</w:t>
      </w:r>
    </w:p>
    <w:p>
      <w:pPr>
        <w:pStyle w:val="Heading1"/>
      </w:pPr>
      <w:r>
        <w:t>13. SEO, answer usefulness, and citation readiness</w:t>
      </w:r>
    </w:p>
    <w:p>
      <w:r>
        <w:t>The system should make pages easy for readers and machines to understand, but must not claim that any particular formatting guarantees rankings or LLM citations.</w:t>
      </w:r>
    </w:p>
    <w:p>
      <w:pPr>
        <w:pStyle w:val="ListBullet"/>
        <w:spacing w:after="40"/>
      </w:pPr>
      <w:r>
        <w:t>Satisfy the reader's main intent promptly; use a clear title, accurate description, logical headings, concise definitions and direct answers where useful.</w:t>
      </w:r>
    </w:p>
    <w:p>
      <w:pPr>
        <w:pStyle w:val="ListBullet"/>
        <w:spacing w:after="40"/>
      </w:pPr>
      <w:r>
        <w:t>Use structured data only when it truthfully represents visible page content and complies with the relevant schema specifications.</w:t>
      </w:r>
    </w:p>
    <w:p>
      <w:pPr>
        <w:pStyle w:val="ListBullet"/>
        <w:spacing w:after="40"/>
      </w:pPr>
      <w:r>
        <w:t>Validate canonical URLs, robots directives, sitemap inclusion, metadata, headings, image attributes, response status and internal links.</w:t>
      </w:r>
    </w:p>
    <w:p>
      <w:pPr>
        <w:pStyle w:val="ListBullet"/>
        <w:spacing w:after="40"/>
      </w:pPr>
      <w:r>
        <w:t>Avoid doorway pages, thin location swaps, scaled near-duplicates, manufactured FAQs, keyword stuffing, and pages created solely to capture query variants.</w:t>
      </w:r>
    </w:p>
    <w:p>
      <w:pPr>
        <w:pStyle w:val="ListBullet"/>
        <w:spacing w:after="40"/>
      </w:pPr>
      <w:r>
        <w:t>Different sites and pages must have distinct legitimate purposes and useful content—not cosmetic changes to the same template.</w:t>
      </w:r>
    </w:p>
    <w:p>
      <w:pPr>
        <w:pStyle w:val="ListBullet"/>
        <w:spacing w:after="40"/>
      </w:pPr>
      <w:r>
        <w:t>For answer-engine readability, clearly attribute factual claims, define entities, explain uncertainty and provide stable source references where appropriate.</w:t>
      </w:r>
    </w:p>
    <w:p>
      <w:pPr>
        <w:pStyle w:val="ListBullet"/>
        <w:spacing w:after="40"/>
      </w:pPr>
      <w:r>
        <w:t>Never write fake citations, fake consensus, fake expert quotes, or unnatural phrases solely to induce an AI assistant to cite the page.</w:t>
      </w:r>
    </w:p>
    <w:p>
      <w:pPr>
        <w:pStyle w:val="ListBullet"/>
        <w:spacing w:after="40"/>
      </w:pPr>
      <w:r>
        <w:t>Measure outcomes with actual search analytics, conversions, indexation, user engagement and editorial audits. Do not infer success from word count or an AI-detector score.</w:t>
      </w:r>
    </w:p>
    <w:p>
      <w:pPr>
        <w:pStyle w:val="Heading1"/>
      </w:pPr>
      <w:r>
        <w:t>14. Quality scoring and hard release gates</w:t>
      </w:r>
    </w:p>
    <w:p>
      <w:r>
        <w:t>Use a transparent rubric to guide revision, but mandatory checks are binary release gates. Initial weights below are a starting point and must be calibrated using a human-labelled benchmark set; weights may not compensate for a critical failure.</w:t>
      </w:r>
    </w:p>
    <w:tbl>
      <w:tblPr>
        <w:tblW w:type="auto" w:w="0"/>
        <w:jc w:val="center"/>
        <w:tblLook w:firstColumn="1" w:firstRow="1" w:lastColumn="0" w:lastRow="0" w:noHBand="0" w:noVBand="1" w:val="04A0"/>
      </w:tblPr>
      <w:tblGrid>
        <w:gridCol w:w="3331"/>
        <w:gridCol w:w="3331"/>
        <w:gridCol w:w="3331"/>
      </w:tblGrid>
      <w:tr>
        <w:tc>
          <w:tcPr>
            <w:tcW w:type="dxa" w:w="3331"/>
            <w:vAlign w:val="center"/>
            <w:shd w:fill="003B46"/>
          </w:tcPr>
          <w:p>
            <w:pPr>
              <w:spacing w:after="20"/>
            </w:pPr>
            <w:r/>
            <w:r>
              <w:rPr>
                <w:rFonts w:ascii="Aptos" w:hAnsi="Aptos"/>
                <w:b/>
                <w:color w:val="FFFFFF"/>
                <w:sz w:val="17"/>
              </w:rPr>
              <w:t>Dimension</w:t>
            </w:r>
          </w:p>
        </w:tc>
        <w:tc>
          <w:tcPr>
            <w:tcW w:type="dxa" w:w="3331"/>
            <w:vAlign w:val="center"/>
            <w:shd w:fill="003B46"/>
          </w:tcPr>
          <w:p>
            <w:pPr>
              <w:spacing w:after="20"/>
            </w:pPr>
            <w:r/>
            <w:r>
              <w:rPr>
                <w:rFonts w:ascii="Aptos" w:hAnsi="Aptos"/>
                <w:b/>
                <w:color w:val="FFFFFF"/>
                <w:sz w:val="17"/>
              </w:rPr>
              <w:t>Initial weight</w:t>
            </w:r>
          </w:p>
        </w:tc>
        <w:tc>
          <w:tcPr>
            <w:tcW w:type="dxa" w:w="3331"/>
            <w:vAlign w:val="center"/>
            <w:shd w:fill="003B46"/>
          </w:tcPr>
          <w:p>
            <w:pPr>
              <w:spacing w:after="20"/>
            </w:pPr>
            <w:r/>
            <w:r>
              <w:rPr>
                <w:rFonts w:ascii="Aptos" w:hAnsi="Aptos"/>
                <w:b/>
                <w:color w:val="FFFFFF"/>
                <w:sz w:val="17"/>
              </w:rPr>
              <w:t>Evidence of passing</w:t>
            </w:r>
          </w:p>
        </w:tc>
      </w:tr>
      <w:tr>
        <w:tc>
          <w:tcPr>
            <w:tcW w:type="dxa" w:w="3331"/>
            <w:vAlign w:val="center"/>
          </w:tcPr>
          <w:p>
            <w:pPr>
              <w:spacing w:after="20"/>
            </w:pPr>
            <w:r/>
            <w:r>
              <w:rPr>
                <w:rFonts w:ascii="Aptos" w:hAnsi="Aptos"/>
                <w:b w:val="0"/>
                <w:sz w:val="16"/>
              </w:rPr>
              <w:t>Factual accuracy and support</w:t>
            </w:r>
          </w:p>
        </w:tc>
        <w:tc>
          <w:tcPr>
            <w:tcW w:type="dxa" w:w="3331"/>
            <w:vAlign w:val="center"/>
          </w:tcPr>
          <w:p>
            <w:pPr>
              <w:spacing w:after="20"/>
            </w:pPr>
            <w:r/>
            <w:r>
              <w:rPr>
                <w:rFonts w:ascii="Aptos" w:hAnsi="Aptos"/>
                <w:b w:val="0"/>
                <w:sz w:val="16"/>
              </w:rPr>
              <w:t>25%</w:t>
            </w:r>
          </w:p>
        </w:tc>
        <w:tc>
          <w:tcPr>
            <w:tcW w:type="dxa" w:w="3331"/>
            <w:vAlign w:val="center"/>
          </w:tcPr>
          <w:p>
            <w:pPr>
              <w:spacing w:after="20"/>
            </w:pPr>
            <w:r/>
            <w:r>
              <w:rPr>
                <w:rFonts w:ascii="Aptos" w:hAnsi="Aptos"/>
                <w:b w:val="0"/>
                <w:sz w:val="16"/>
              </w:rPr>
              <w:t>Material claims mapped to evidence; no critical unsupported claim.</w:t>
            </w:r>
          </w:p>
        </w:tc>
      </w:tr>
      <w:tr>
        <w:tc>
          <w:tcPr>
            <w:tcW w:type="dxa" w:w="3331"/>
            <w:vAlign w:val="center"/>
          </w:tcPr>
          <w:p>
            <w:pPr>
              <w:spacing w:after="20"/>
            </w:pPr>
            <w:r/>
            <w:r>
              <w:rPr>
                <w:rFonts w:ascii="Aptos" w:hAnsi="Aptos"/>
                <w:b w:val="0"/>
                <w:sz w:val="16"/>
              </w:rPr>
              <w:t>Original contribution and usefulness</w:t>
            </w:r>
          </w:p>
        </w:tc>
        <w:tc>
          <w:tcPr>
            <w:tcW w:type="dxa" w:w="3331"/>
            <w:vAlign w:val="center"/>
          </w:tcPr>
          <w:p>
            <w:pPr>
              <w:spacing w:after="20"/>
            </w:pPr>
            <w:r/>
            <w:r>
              <w:rPr>
                <w:rFonts w:ascii="Aptos" w:hAnsi="Aptos"/>
                <w:b w:val="0"/>
                <w:sz w:val="16"/>
              </w:rPr>
              <w:t>20%</w:t>
            </w:r>
          </w:p>
        </w:tc>
        <w:tc>
          <w:tcPr>
            <w:tcW w:type="dxa" w:w="3331"/>
            <w:vAlign w:val="center"/>
          </w:tcPr>
          <w:p>
            <w:pPr>
              <w:spacing w:after="20"/>
            </w:pPr>
            <w:r/>
            <w:r>
              <w:rPr>
                <w:rFonts w:ascii="Aptos" w:hAnsi="Aptos"/>
                <w:b w:val="0"/>
                <w:sz w:val="16"/>
              </w:rPr>
              <w:t>Clear unique contribution; resolves the reader's task.</w:t>
            </w:r>
          </w:p>
        </w:tc>
      </w:tr>
      <w:tr>
        <w:tc>
          <w:tcPr>
            <w:tcW w:type="dxa" w:w="3331"/>
            <w:vAlign w:val="center"/>
          </w:tcPr>
          <w:p>
            <w:pPr>
              <w:spacing w:after="20"/>
            </w:pPr>
            <w:r/>
            <w:r>
              <w:rPr>
                <w:rFonts w:ascii="Aptos" w:hAnsi="Aptos"/>
                <w:b w:val="0"/>
                <w:sz w:val="16"/>
              </w:rPr>
              <w:t>Editorial quality and clarity</w:t>
            </w:r>
          </w:p>
        </w:tc>
        <w:tc>
          <w:tcPr>
            <w:tcW w:type="dxa" w:w="3331"/>
            <w:vAlign w:val="center"/>
          </w:tcPr>
          <w:p>
            <w:pPr>
              <w:spacing w:after="20"/>
            </w:pPr>
            <w:r/>
            <w:r>
              <w:rPr>
                <w:rFonts w:ascii="Aptos" w:hAnsi="Aptos"/>
                <w:b w:val="0"/>
                <w:sz w:val="16"/>
              </w:rPr>
              <w:t>20%</w:t>
            </w:r>
          </w:p>
        </w:tc>
        <w:tc>
          <w:tcPr>
            <w:tcW w:type="dxa" w:w="3331"/>
            <w:vAlign w:val="center"/>
          </w:tcPr>
          <w:p>
            <w:pPr>
              <w:spacing w:after="20"/>
            </w:pPr>
            <w:r/>
            <w:r>
              <w:rPr>
                <w:rFonts w:ascii="Aptos" w:hAnsi="Aptos"/>
                <w:b w:val="0"/>
                <w:sz w:val="16"/>
              </w:rPr>
              <w:t>No filler, repetition, fake experience or structural defects.</w:t>
            </w:r>
          </w:p>
        </w:tc>
      </w:tr>
      <w:tr>
        <w:tc>
          <w:tcPr>
            <w:tcW w:type="dxa" w:w="3331"/>
            <w:vAlign w:val="center"/>
          </w:tcPr>
          <w:p>
            <w:pPr>
              <w:spacing w:after="20"/>
            </w:pPr>
            <w:r/>
            <w:r>
              <w:rPr>
                <w:rFonts w:ascii="Aptos" w:hAnsi="Aptos"/>
                <w:b w:val="0"/>
                <w:sz w:val="16"/>
              </w:rPr>
              <w:t>Research and citation integrity</w:t>
            </w:r>
          </w:p>
        </w:tc>
        <w:tc>
          <w:tcPr>
            <w:tcW w:type="dxa" w:w="3331"/>
            <w:vAlign w:val="center"/>
          </w:tcPr>
          <w:p>
            <w:pPr>
              <w:spacing w:after="20"/>
            </w:pPr>
            <w:r/>
            <w:r>
              <w:rPr>
                <w:rFonts w:ascii="Aptos" w:hAnsi="Aptos"/>
                <w:b w:val="0"/>
                <w:sz w:val="16"/>
              </w:rPr>
              <w:t>15%</w:t>
            </w:r>
          </w:p>
        </w:tc>
        <w:tc>
          <w:tcPr>
            <w:tcW w:type="dxa" w:w="3331"/>
            <w:vAlign w:val="center"/>
          </w:tcPr>
          <w:p>
            <w:pPr>
              <w:spacing w:after="20"/>
            </w:pPr>
            <w:r/>
            <w:r>
              <w:rPr>
                <w:rFonts w:ascii="Aptos" w:hAnsi="Aptos"/>
                <w:b w:val="0"/>
                <w:sz w:val="16"/>
              </w:rPr>
              <w:t>References resolve and support cited statements.</w:t>
            </w:r>
          </w:p>
        </w:tc>
      </w:tr>
      <w:tr>
        <w:tc>
          <w:tcPr>
            <w:tcW w:type="dxa" w:w="3331"/>
            <w:vAlign w:val="center"/>
          </w:tcPr>
          <w:p>
            <w:pPr>
              <w:spacing w:after="20"/>
            </w:pPr>
            <w:r/>
            <w:r>
              <w:rPr>
                <w:rFonts w:ascii="Aptos" w:hAnsi="Aptos"/>
                <w:b w:val="0"/>
                <w:sz w:val="16"/>
              </w:rPr>
              <w:t>Site correctness and internal links</w:t>
            </w:r>
          </w:p>
        </w:tc>
        <w:tc>
          <w:tcPr>
            <w:tcW w:type="dxa" w:w="3331"/>
            <w:vAlign w:val="center"/>
          </w:tcPr>
          <w:p>
            <w:pPr>
              <w:spacing w:after="20"/>
            </w:pPr>
            <w:r/>
            <w:r>
              <w:rPr>
                <w:rFonts w:ascii="Aptos" w:hAnsi="Aptos"/>
                <w:b w:val="0"/>
                <w:sz w:val="16"/>
              </w:rPr>
              <w:t>10%</w:t>
            </w:r>
          </w:p>
        </w:tc>
        <w:tc>
          <w:tcPr>
            <w:tcW w:type="dxa" w:w="3331"/>
            <w:vAlign w:val="center"/>
          </w:tcPr>
          <w:p>
            <w:pPr>
              <w:spacing w:after="20"/>
            </w:pPr>
            <w:r/>
            <w:r>
              <w:rPr>
                <w:rFonts w:ascii="Aptos" w:hAnsi="Aptos"/>
                <w:b w:val="0"/>
                <w:sz w:val="16"/>
              </w:rPr>
              <w:t>Correct site, URLs, media namespace and relevant links.</w:t>
            </w:r>
          </w:p>
        </w:tc>
      </w:tr>
      <w:tr>
        <w:tc>
          <w:tcPr>
            <w:tcW w:type="dxa" w:w="3331"/>
            <w:vAlign w:val="center"/>
          </w:tcPr>
          <w:p>
            <w:pPr>
              <w:spacing w:after="20"/>
            </w:pPr>
            <w:r/>
            <w:r>
              <w:rPr>
                <w:rFonts w:ascii="Aptos" w:hAnsi="Aptos"/>
                <w:b w:val="0"/>
                <w:sz w:val="16"/>
              </w:rPr>
              <w:t>Brief and policy adherence</w:t>
            </w:r>
          </w:p>
        </w:tc>
        <w:tc>
          <w:tcPr>
            <w:tcW w:type="dxa" w:w="3331"/>
            <w:vAlign w:val="center"/>
          </w:tcPr>
          <w:p>
            <w:pPr>
              <w:spacing w:after="20"/>
            </w:pPr>
            <w:r/>
            <w:r>
              <w:rPr>
                <w:rFonts w:ascii="Aptos" w:hAnsi="Aptos"/>
                <w:b w:val="0"/>
                <w:sz w:val="16"/>
              </w:rPr>
              <w:t>10%</w:t>
            </w:r>
          </w:p>
        </w:tc>
        <w:tc>
          <w:tcPr>
            <w:tcW w:type="dxa" w:w="3331"/>
            <w:vAlign w:val="center"/>
          </w:tcPr>
          <w:p>
            <w:pPr>
              <w:spacing w:after="20"/>
            </w:pPr>
            <w:r/>
            <w:r>
              <w:rPr>
                <w:rFonts w:ascii="Aptos" w:hAnsi="Aptos"/>
                <w:b w:val="0"/>
                <w:sz w:val="16"/>
              </w:rPr>
              <w:t>Scope, risk, tone, CTA and technical rules satisfied.</w:t>
            </w:r>
          </w:p>
        </w:tc>
      </w:tr>
    </w:tbl>
    <w:p>
      <w:r>
        <w:t>Provisional policy: require at least 90/100 for low-risk content, plus every mandatory gate passing. Do not use the same threshold for every niche. High-risk legal, medical, financial, safety, scientific or regulated claims require stricter evidence and may require mandatory human review. The system must not auto-publish high-risk material just because it scored 90.</w:t>
      </w:r>
    </w:p>
    <w:p>
      <w:pPr>
        <w:pStyle w:val="Heading2"/>
      </w:pPr>
      <w:r>
        <w:t>Mandatory hard-fail conditions</w:t>
      </w:r>
    </w:p>
    <w:p>
      <w:pPr>
        <w:pStyle w:val="ListBullet"/>
        <w:spacing w:after="40"/>
      </w:pPr>
      <w:r>
        <w:t>Fabricated, mismatched or unresolvable critical citation.</w:t>
      </w:r>
    </w:p>
    <w:p>
      <w:pPr>
        <w:pStyle w:val="ListBullet"/>
        <w:spacing w:after="40"/>
      </w:pPr>
      <w:r>
        <w:t>Material claim with no adequate supporting evidence.</w:t>
      </w:r>
    </w:p>
    <w:p>
      <w:pPr>
        <w:pStyle w:val="ListBullet"/>
        <w:spacing w:after="40"/>
      </w:pPr>
      <w:r>
        <w:t>Contradictory data or unresolved numerical/method inconsistency.</w:t>
      </w:r>
    </w:p>
    <w:p>
      <w:pPr>
        <w:pStyle w:val="ListBullet"/>
        <w:spacing w:after="40"/>
      </w:pPr>
      <w:r>
        <w:t>High-severity similarity/plagiarism concern not resolved.</w:t>
      </w:r>
    </w:p>
    <w:p>
      <w:pPr>
        <w:pStyle w:val="ListBullet"/>
        <w:spacing w:after="40"/>
      </w:pPr>
      <w:r>
        <w:t>Wrong site, wrong canonical, cross-site internal link, unauthorized image, or leaked secret.</w:t>
      </w:r>
    </w:p>
    <w:p>
      <w:pPr>
        <w:pStyle w:val="ListBullet"/>
        <w:spacing w:after="40"/>
      </w:pPr>
      <w:r>
        <w:t>Broken required URL, invalid schema, malformed payload, or unsafe HTML/MDX.</w:t>
      </w:r>
    </w:p>
    <w:p>
      <w:pPr>
        <w:pStyle w:val="ListBullet"/>
        <w:spacing w:after="40"/>
      </w:pPr>
      <w:r>
        <w:t>Failed risk-policy check, prohibited claim, invented author/reviewer, or false first-person assertion.</w:t>
      </w:r>
    </w:p>
    <w:p>
      <w:pPr>
        <w:pStyle w:val="ListBullet"/>
        <w:spacing w:after="40"/>
      </w:pPr>
      <w:r>
        <w:t>Failed post-publication verification, duplicate publication risk, or uncertain publish outcome.</w:t>
      </w:r>
    </w:p>
    <w:p>
      <w:pPr>
        <w:pStyle w:val="Heading1"/>
      </w:pPr>
      <w:r>
        <w:t>15. Publication safety and zero-touch operation</w:t>
      </w:r>
    </w:p>
    <w:p>
      <w:r>
        <w:t>Unattended publishing should be a policy-controlled capability, not a global switch. Begin with draft-only mode. Enable automatic publication only for content classes that have passed a defined period of regression testing and whose evidence, risk, and technical checks can be reliably automated.</w:t>
      </w:r>
    </w:p>
    <w:p>
      <w:pPr>
        <w:pStyle w:val="ListBullet"/>
        <w:spacing w:after="40"/>
      </w:pPr>
      <w:r>
        <w:t>Use per-site and per-content-type modes: disabled, draft-only, auto-publish-low-risk, or human-review-required.</w:t>
      </w:r>
    </w:p>
    <w:p>
      <w:pPr>
        <w:pStyle w:val="ListBullet"/>
        <w:spacing w:after="40"/>
      </w:pPr>
      <w:r>
        <w:t>Default new sites, new categories, new model versions, new prompt versions and new publishing adapters to draft-only until qualified.</w:t>
      </w:r>
    </w:p>
    <w:p>
      <w:pPr>
        <w:pStyle w:val="ListBullet"/>
        <w:spacing w:after="40"/>
      </w:pPr>
      <w:r>
        <w:t>Use least-privilege credentials and separate secrets per site. Never grant the content engine unrestricted VPS shell access or database access it does not need.</w:t>
      </w:r>
    </w:p>
    <w:p>
      <w:pPr>
        <w:pStyle w:val="ListBullet"/>
        <w:spacing w:after="40"/>
      </w:pPr>
      <w:r>
        <w:t>Validate and sanitize generated HTML/MDX; do not execute generated code, shell commands, SQL, or workflow instructions from source content.</w:t>
      </w:r>
    </w:p>
    <w:p>
      <w:pPr>
        <w:pStyle w:val="ListBullet"/>
        <w:spacing w:after="40"/>
      </w:pPr>
      <w:r>
        <w:t>Treat retrieved webpages and documents as untrusted data. Ignore any instructions embedded in them that attempt to override system policy or reveal secrets.</w:t>
      </w:r>
    </w:p>
    <w:p>
      <w:pPr>
        <w:pStyle w:val="ListBullet"/>
        <w:spacing w:after="40"/>
      </w:pPr>
      <w:r>
        <w:t>Publish through an authenticated, allowlisted site adapter with an idempotency key and explicit target-site ID.</w:t>
      </w:r>
    </w:p>
    <w:p>
      <w:pPr>
        <w:pStyle w:val="ListBullet"/>
        <w:spacing w:after="40"/>
      </w:pPr>
      <w:r>
        <w:t>After publishing, fetch the canonical URL and verify status, canonical, rendered content, metadata, indexability and expected internal links.</w:t>
      </w:r>
    </w:p>
    <w:p>
      <w:pPr>
        <w:pStyle w:val="ListBullet"/>
        <w:spacing w:after="40"/>
      </w:pPr>
      <w:r>
        <w:t>If the remote publish response is ambiguous, query the target site by idempotency key before retrying. Never blindly post again.</w:t>
      </w:r>
    </w:p>
    <w:p>
      <w:pPr>
        <w:pStyle w:val="ListBullet"/>
        <w:spacing w:after="40"/>
      </w:pPr>
      <w:r>
        <w:t>Provide automatic rollback/unpublish or emergency disable procedures for content discovered to be materially wrong.</w:t>
      </w:r>
    </w:p>
    <w:p>
      <w:pPr>
        <w:pStyle w:val="ListBullet"/>
        <w:spacing w:after="40"/>
      </w:pPr>
      <w:r>
        <w:t>A kill switch must stop new jobs and publishing while preserving in-progress state and logs.</w:t>
      </w:r>
    </w:p>
    <w:tbl>
      <w:tblPr>
        <w:tblW w:type="auto" w:w="0"/>
        <w:jc w:val="center"/>
        <w:tblLook w:firstColumn="1" w:firstRow="1" w:lastColumn="0" w:lastRow="0" w:noHBand="0" w:noVBand="1" w:val="04A0"/>
      </w:tblPr>
      <w:tblGrid>
        <w:gridCol w:w="9994"/>
      </w:tblGrid>
      <w:tr>
        <w:tc>
          <w:tcPr>
            <w:tcW w:type="dxa" w:w="9994"/>
            <w:shd w:fill="EAF2F3"/>
          </w:tcPr>
          <w:p>
            <w:pPr>
              <w:spacing w:after="60"/>
            </w:pPr>
            <w:r>
              <w:rPr>
                <w:b/>
                <w:color w:val="003B46"/>
                <w:sz w:val="20"/>
              </w:rPr>
              <w:t>Operational reality</w:t>
              <w:br/>
            </w:r>
            <w:r>
              <w:rPr>
                <w:sz w:val="18"/>
              </w:rPr>
              <w:t>Zero routine manual intervention is a reasonable goal for qualified low-risk content. Zero exception handling forever is not. Build automatic quarantine, bounded retries, alerts, health checks, backup restoration tests and a clear recovery path so a human is only needed when the system cannot safely decide.</w:t>
            </w:r>
          </w:p>
        </w:tc>
      </w:tr>
    </w:tbl>
    <w:p>
      <w:pPr>
        <w:spacing w:after="0"/>
      </w:pPr>
    </w:p>
    <w:p>
      <w:pPr>
        <w:pStyle w:val="Heading1"/>
      </w:pPr>
      <w:r>
        <w:t>16. Long-term maintainability: design for change, not 20 years of stasis</w:t>
      </w:r>
    </w:p>
    <w:p>
      <w:pPr>
        <w:pStyle w:val="ListBullet"/>
        <w:spacing w:after="40"/>
      </w:pPr>
      <w:r>
        <w:t>Use supported, pinned dependency versions and a documented upgrade process; avoid unmaintained packages and undocumented hacks.</w:t>
      </w:r>
    </w:p>
    <w:p>
      <w:pPr>
        <w:pStyle w:val="ListBullet"/>
        <w:spacing w:after="40"/>
      </w:pPr>
      <w:r>
        <w:t>Create adapters for model gateway, search/source providers, scholarly metadata services, media storage and publishing APIs.</w:t>
      </w:r>
    </w:p>
    <w:p>
      <w:pPr>
        <w:pStyle w:val="ListBullet"/>
        <w:spacing w:after="40"/>
      </w:pPr>
      <w:r>
        <w:t>Version prompts, site configs, schemas, editorial policies and scoring rules. Store the versions used for each article.</w:t>
      </w:r>
    </w:p>
    <w:p>
      <w:pPr>
        <w:pStyle w:val="ListBullet"/>
        <w:spacing w:after="40"/>
      </w:pPr>
      <w:r>
        <w:t>Maintain a model evaluation corpus and run regression tests before changing model/provider, prompt, source adapter, or publishing code.</w:t>
      </w:r>
    </w:p>
    <w:p>
      <w:pPr>
        <w:pStyle w:val="ListBullet"/>
        <w:spacing w:after="40"/>
      </w:pPr>
      <w:r>
        <w:t>Track provider/API deprecations, dependency vulnerabilities, certificate expiry, disk space, database growth, VPS memory/CPU, queue age and failed schedules.</w:t>
      </w:r>
    </w:p>
    <w:p>
      <w:pPr>
        <w:pStyle w:val="ListBullet"/>
        <w:spacing w:after="40"/>
      </w:pPr>
      <w:r>
        <w:t>Back up the database, site configurations, source/evidence records and essential workflow definitions; encrypt backups and test restoration regularly.</w:t>
      </w:r>
    </w:p>
    <w:p>
      <w:pPr>
        <w:pStyle w:val="ListBullet"/>
        <w:spacing w:after="40"/>
      </w:pPr>
      <w:r>
        <w:t>Use a documented disaster-recovery plan with recovery time and recovery point objectives appropriate to the business.</w:t>
      </w:r>
    </w:p>
    <w:p>
      <w:pPr>
        <w:pStyle w:val="ListBullet"/>
        <w:spacing w:after="40"/>
      </w:pPr>
      <w:r>
        <w:t>Keep infrastructure as code or reproducible deployment instructions, plus environment templates without secrets.</w:t>
      </w:r>
    </w:p>
    <w:p>
      <w:pPr>
        <w:pStyle w:val="ListBullet"/>
        <w:spacing w:after="40"/>
      </w:pPr>
      <w:r>
        <w:t>Set retention rules for source snapshots and logs based on copyright, privacy, storage and business needs.</w:t>
      </w:r>
    </w:p>
    <w:p>
      <w:pPr>
        <w:pStyle w:val="ListBullet"/>
        <w:spacing w:after="40"/>
      </w:pPr>
      <w:r>
        <w:t>Review legal, privacy, licensing, accessibility and search-engine policy changes periodically. The system cannot assume today's rules will remain unchanged.</w:t>
      </w:r>
    </w:p>
    <w:p>
      <w:pPr>
        <w:pStyle w:val="Heading1"/>
      </w:pPr>
      <w:r>
        <w:t>17. Observability, alerts and cost controls</w:t>
      </w:r>
    </w:p>
    <w:p>
      <w:r>
        <w:t>For every job, log structured events with timestamps, job ID, site ID, stage, attempt, duration, model/provider, token usage, cost, result, failure category and next action. Do not log API keys, full secrets, or unnecessary personal data.</w:t>
      </w:r>
    </w:p>
    <w:p>
      <w:pPr>
        <w:pStyle w:val="ListBullet"/>
        <w:spacing w:after="40"/>
      </w:pPr>
      <w:r>
        <w:t>Dashboard: queue depth, age of oldest job, completion rate, quarantine rate, publish success rate, stage latency, cost per article and cost per site.</w:t>
      </w:r>
    </w:p>
    <w:p>
      <w:pPr>
        <w:pStyle w:val="ListBullet"/>
        <w:spacing w:after="40"/>
      </w:pPr>
      <w:r>
        <w:t>Quality dashboard: unsupported-claim rate, citation mismatch rate, similarity flags, revision count, hard-gate failures and sampled post-publication audit findings.</w:t>
      </w:r>
    </w:p>
    <w:p>
      <w:pPr>
        <w:pStyle w:val="ListBullet"/>
        <w:spacing w:after="40"/>
      </w:pPr>
      <w:r>
        <w:t>Alert on repeated failures, model catalog changes, unusual cost spikes, missing scheduled runs, queue backlog, low disk, failed backups and publishing verification failures.</w:t>
      </w:r>
    </w:p>
    <w:p>
      <w:pPr>
        <w:pStyle w:val="ListBullet"/>
        <w:spacing w:after="40"/>
      </w:pPr>
      <w:r>
        <w:t>Use budgets and circuit breakers per site, model, job and day. Stop rather than silently exceed configured limits.</w:t>
      </w:r>
    </w:p>
    <w:p>
      <w:pPr>
        <w:pStyle w:val="ListBullet"/>
        <w:spacing w:after="40"/>
      </w:pPr>
      <w:r>
        <w:t>Cache research results with source timestamps and content hashes; do not reuse stale evidence where freshness is required.</w:t>
      </w:r>
    </w:p>
    <w:p>
      <w:pPr>
        <w:pStyle w:val="ListBullet"/>
        <w:spacing w:after="40"/>
      </w:pPr>
      <w:r>
        <w:t>Measure cost against quality and reliability. Cheap generation that creates correction work is not efficient.</w:t>
      </w:r>
    </w:p>
    <w:p>
      <w:pPr>
        <w:pStyle w:val="Heading1"/>
      </w:pPr>
      <w:r>
        <w:t>18. Testing strategy and regression corpus</w:t>
      </w:r>
    </w:p>
    <w:p>
      <w:r>
        <w:t>Build automated unit, integration, end-to-end, fault-injection, security and editorial regression tests. Tests must run in CI or the existing equivalent before production deployment.</w:t>
      </w:r>
    </w:p>
    <w:tbl>
      <w:tblPr>
        <w:tblW w:type="auto" w:w="0"/>
        <w:jc w:val="center"/>
        <w:tblLook w:firstColumn="1" w:firstRow="1" w:lastColumn="0" w:lastRow="0" w:noHBand="0" w:noVBand="1" w:val="04A0"/>
      </w:tblPr>
      <w:tblGrid>
        <w:gridCol w:w="3331"/>
        <w:gridCol w:w="3331"/>
        <w:gridCol w:w="3331"/>
      </w:tblGrid>
      <w:tr>
        <w:tc>
          <w:tcPr>
            <w:tcW w:type="dxa" w:w="3331"/>
            <w:vAlign w:val="center"/>
            <w:shd w:fill="003B46"/>
          </w:tcPr>
          <w:p>
            <w:pPr>
              <w:spacing w:after="20"/>
            </w:pPr>
            <w:r/>
            <w:r>
              <w:rPr>
                <w:rFonts w:ascii="Aptos" w:hAnsi="Aptos"/>
                <w:b/>
                <w:color w:val="FFFFFF"/>
                <w:sz w:val="17"/>
              </w:rPr>
              <w:t>Test</w:t>
            </w:r>
          </w:p>
        </w:tc>
        <w:tc>
          <w:tcPr>
            <w:tcW w:type="dxa" w:w="3331"/>
            <w:vAlign w:val="center"/>
            <w:shd w:fill="003B46"/>
          </w:tcPr>
          <w:p>
            <w:pPr>
              <w:spacing w:after="20"/>
            </w:pPr>
            <w:r/>
            <w:r>
              <w:rPr>
                <w:rFonts w:ascii="Aptos" w:hAnsi="Aptos"/>
                <w:b/>
                <w:color w:val="FFFFFF"/>
                <w:sz w:val="17"/>
              </w:rPr>
              <w:t>Scenario</w:t>
            </w:r>
          </w:p>
        </w:tc>
        <w:tc>
          <w:tcPr>
            <w:tcW w:type="dxa" w:w="3331"/>
            <w:vAlign w:val="center"/>
            <w:shd w:fill="003B46"/>
          </w:tcPr>
          <w:p>
            <w:pPr>
              <w:spacing w:after="20"/>
            </w:pPr>
            <w:r/>
            <w:r>
              <w:rPr>
                <w:rFonts w:ascii="Aptos" w:hAnsi="Aptos"/>
                <w:b/>
                <w:color w:val="FFFFFF"/>
                <w:sz w:val="17"/>
              </w:rPr>
              <w:t>Expected behavior</w:t>
            </w:r>
          </w:p>
        </w:tc>
      </w:tr>
      <w:tr>
        <w:tc>
          <w:tcPr>
            <w:tcW w:type="dxa" w:w="3331"/>
            <w:vAlign w:val="center"/>
          </w:tcPr>
          <w:p>
            <w:pPr>
              <w:spacing w:after="20"/>
            </w:pPr>
            <w:r/>
            <w:r>
              <w:rPr>
                <w:rFonts w:ascii="Aptos" w:hAnsi="Aptos"/>
                <w:b w:val="0"/>
                <w:sz w:val="15"/>
              </w:rPr>
              <w:t>Citation mismatch</w:t>
            </w:r>
          </w:p>
        </w:tc>
        <w:tc>
          <w:tcPr>
            <w:tcW w:type="dxa" w:w="3331"/>
            <w:vAlign w:val="center"/>
          </w:tcPr>
          <w:p>
            <w:pPr>
              <w:spacing w:after="20"/>
            </w:pPr>
            <w:r/>
            <w:r>
              <w:rPr>
                <w:rFonts w:ascii="Aptos" w:hAnsi="Aptos"/>
                <w:b w:val="0"/>
                <w:sz w:val="15"/>
              </w:rPr>
              <w:t>A real identifier belongs to a different paper than the claimed title.</w:t>
            </w:r>
          </w:p>
        </w:tc>
        <w:tc>
          <w:tcPr>
            <w:tcW w:type="dxa" w:w="3331"/>
            <w:vAlign w:val="center"/>
          </w:tcPr>
          <w:p>
            <w:pPr>
              <w:spacing w:after="20"/>
            </w:pPr>
            <w:r/>
            <w:r>
              <w:rPr>
                <w:rFonts w:ascii="Aptos" w:hAnsi="Aptos"/>
                <w:b w:val="0"/>
                <w:sz w:val="15"/>
              </w:rPr>
              <w:t>Hard fail; quarantine.</w:t>
            </w:r>
          </w:p>
        </w:tc>
      </w:tr>
      <w:tr>
        <w:tc>
          <w:tcPr>
            <w:tcW w:type="dxa" w:w="3331"/>
            <w:vAlign w:val="center"/>
          </w:tcPr>
          <w:p>
            <w:pPr>
              <w:spacing w:after="20"/>
            </w:pPr>
            <w:r/>
            <w:r>
              <w:rPr>
                <w:rFonts w:ascii="Aptos" w:hAnsi="Aptos"/>
                <w:b w:val="0"/>
                <w:sz w:val="15"/>
              </w:rPr>
              <w:t>Fabricated source</w:t>
            </w:r>
          </w:p>
        </w:tc>
        <w:tc>
          <w:tcPr>
            <w:tcW w:type="dxa" w:w="3331"/>
            <w:vAlign w:val="center"/>
          </w:tcPr>
          <w:p>
            <w:pPr>
              <w:spacing w:after="20"/>
            </w:pPr>
            <w:r/>
            <w:r>
              <w:rPr>
                <w:rFonts w:ascii="Aptos" w:hAnsi="Aptos"/>
                <w:b w:val="0"/>
                <w:sz w:val="15"/>
              </w:rPr>
              <w:t>Citation/URL cannot be resolved and no approved exception exists.</w:t>
            </w:r>
          </w:p>
        </w:tc>
        <w:tc>
          <w:tcPr>
            <w:tcW w:type="dxa" w:w="3331"/>
            <w:vAlign w:val="center"/>
          </w:tcPr>
          <w:p>
            <w:pPr>
              <w:spacing w:after="20"/>
            </w:pPr>
            <w:r/>
            <w:r>
              <w:rPr>
                <w:rFonts w:ascii="Aptos" w:hAnsi="Aptos"/>
                <w:b w:val="0"/>
                <w:sz w:val="15"/>
              </w:rPr>
              <w:t>Hard fail for material claim.</w:t>
            </w:r>
          </w:p>
        </w:tc>
      </w:tr>
      <w:tr>
        <w:tc>
          <w:tcPr>
            <w:tcW w:type="dxa" w:w="3331"/>
            <w:vAlign w:val="center"/>
          </w:tcPr>
          <w:p>
            <w:pPr>
              <w:spacing w:after="20"/>
            </w:pPr>
            <w:r/>
            <w:r>
              <w:rPr>
                <w:rFonts w:ascii="Aptos" w:hAnsi="Aptos"/>
                <w:b w:val="0"/>
                <w:sz w:val="15"/>
              </w:rPr>
              <w:t>Unsupported claim</w:t>
            </w:r>
          </w:p>
        </w:tc>
        <w:tc>
          <w:tcPr>
            <w:tcW w:type="dxa" w:w="3331"/>
            <w:vAlign w:val="center"/>
          </w:tcPr>
          <w:p>
            <w:pPr>
              <w:spacing w:after="20"/>
            </w:pPr>
            <w:r/>
            <w:r>
              <w:rPr>
                <w:rFonts w:ascii="Aptos" w:hAnsi="Aptos"/>
                <w:b w:val="0"/>
                <w:sz w:val="15"/>
              </w:rPr>
              <w:t>Source is real but does not support the sentence.</w:t>
            </w:r>
          </w:p>
        </w:tc>
        <w:tc>
          <w:tcPr>
            <w:tcW w:type="dxa" w:w="3331"/>
            <w:vAlign w:val="center"/>
          </w:tcPr>
          <w:p>
            <w:pPr>
              <w:spacing w:after="20"/>
            </w:pPr>
            <w:r/>
            <w:r>
              <w:rPr>
                <w:rFonts w:ascii="Aptos" w:hAnsi="Aptos"/>
                <w:b w:val="0"/>
                <w:sz w:val="15"/>
              </w:rPr>
              <w:t>Revise or quarantine.</w:t>
            </w:r>
          </w:p>
        </w:tc>
      </w:tr>
      <w:tr>
        <w:tc>
          <w:tcPr>
            <w:tcW w:type="dxa" w:w="3331"/>
            <w:vAlign w:val="center"/>
          </w:tcPr>
          <w:p>
            <w:pPr>
              <w:spacing w:after="20"/>
            </w:pPr>
            <w:r/>
            <w:r>
              <w:rPr>
                <w:rFonts w:ascii="Aptos" w:hAnsi="Aptos"/>
                <w:b w:val="0"/>
                <w:sz w:val="15"/>
              </w:rPr>
              <w:t>Contradictory values</w:t>
            </w:r>
          </w:p>
        </w:tc>
        <w:tc>
          <w:tcPr>
            <w:tcW w:type="dxa" w:w="3331"/>
            <w:vAlign w:val="center"/>
          </w:tcPr>
          <w:p>
            <w:pPr>
              <w:spacing w:after="20"/>
            </w:pPr>
            <w:r/>
            <w:r>
              <w:rPr>
                <w:rFonts w:ascii="Aptos" w:hAnsi="Aptos"/>
                <w:b w:val="0"/>
                <w:sz w:val="15"/>
              </w:rPr>
              <w:t>Methods, dates, units or results disagree across sections.</w:t>
            </w:r>
          </w:p>
        </w:tc>
        <w:tc>
          <w:tcPr>
            <w:tcW w:type="dxa" w:w="3331"/>
            <w:vAlign w:val="center"/>
          </w:tcPr>
          <w:p>
            <w:pPr>
              <w:spacing w:after="20"/>
            </w:pPr>
            <w:r/>
            <w:r>
              <w:rPr>
                <w:rFonts w:ascii="Aptos" w:hAnsi="Aptos"/>
                <w:b w:val="0"/>
                <w:sz w:val="15"/>
              </w:rPr>
              <w:t>Hard fail until reconciled.</w:t>
            </w:r>
          </w:p>
        </w:tc>
      </w:tr>
      <w:tr>
        <w:tc>
          <w:tcPr>
            <w:tcW w:type="dxa" w:w="3331"/>
            <w:vAlign w:val="center"/>
          </w:tcPr>
          <w:p>
            <w:pPr>
              <w:spacing w:after="20"/>
            </w:pPr>
            <w:r/>
            <w:r>
              <w:rPr>
                <w:rFonts w:ascii="Aptos" w:hAnsi="Aptos"/>
                <w:b w:val="0"/>
                <w:sz w:val="15"/>
              </w:rPr>
              <w:t>Cross-site contamination</w:t>
            </w:r>
          </w:p>
        </w:tc>
        <w:tc>
          <w:tcPr>
            <w:tcW w:type="dxa" w:w="3331"/>
            <w:vAlign w:val="center"/>
          </w:tcPr>
          <w:p>
            <w:pPr>
              <w:spacing w:after="20"/>
            </w:pPr>
            <w:r/>
            <w:r>
              <w:rPr>
                <w:rFonts w:ascii="Aptos" w:hAnsi="Aptos"/>
                <w:b w:val="0"/>
                <w:sz w:val="15"/>
              </w:rPr>
              <w:t>Image, link, author or config belongs to another site.</w:t>
            </w:r>
          </w:p>
        </w:tc>
        <w:tc>
          <w:tcPr>
            <w:tcW w:type="dxa" w:w="3331"/>
            <w:vAlign w:val="center"/>
          </w:tcPr>
          <w:p>
            <w:pPr>
              <w:spacing w:after="20"/>
            </w:pPr>
            <w:r/>
            <w:r>
              <w:rPr>
                <w:rFonts w:ascii="Aptos" w:hAnsi="Aptos"/>
                <w:b w:val="0"/>
                <w:sz w:val="15"/>
              </w:rPr>
              <w:t>Hard fail.</w:t>
            </w:r>
          </w:p>
        </w:tc>
      </w:tr>
      <w:tr>
        <w:tc>
          <w:tcPr>
            <w:tcW w:type="dxa" w:w="3331"/>
            <w:vAlign w:val="center"/>
          </w:tcPr>
          <w:p>
            <w:pPr>
              <w:spacing w:after="20"/>
            </w:pPr>
            <w:r/>
            <w:r>
              <w:rPr>
                <w:rFonts w:ascii="Aptos" w:hAnsi="Aptos"/>
                <w:b w:val="0"/>
                <w:sz w:val="15"/>
              </w:rPr>
              <w:t>Near-duplicate article</w:t>
            </w:r>
          </w:p>
        </w:tc>
        <w:tc>
          <w:tcPr>
            <w:tcW w:type="dxa" w:w="3331"/>
            <w:vAlign w:val="center"/>
          </w:tcPr>
          <w:p>
            <w:pPr>
              <w:spacing w:after="20"/>
            </w:pPr>
            <w:r/>
            <w:r>
              <w:rPr>
                <w:rFonts w:ascii="Aptos" w:hAnsi="Aptos"/>
                <w:b w:val="0"/>
                <w:sz w:val="15"/>
              </w:rPr>
              <w:t>Draft duplicates a published article or another queued draft.</w:t>
            </w:r>
          </w:p>
        </w:tc>
        <w:tc>
          <w:tcPr>
            <w:tcW w:type="dxa" w:w="3331"/>
            <w:vAlign w:val="center"/>
          </w:tcPr>
          <w:p>
            <w:pPr>
              <w:spacing w:after="20"/>
            </w:pPr>
            <w:r/>
            <w:r>
              <w:rPr>
                <w:rFonts w:ascii="Aptos" w:hAnsi="Aptos"/>
                <w:b w:val="0"/>
                <w:sz w:val="15"/>
              </w:rPr>
              <w:t>Merge, rewrite with new purpose, or quarantine.</w:t>
            </w:r>
          </w:p>
        </w:tc>
      </w:tr>
      <w:tr>
        <w:tc>
          <w:tcPr>
            <w:tcW w:type="dxa" w:w="3331"/>
            <w:vAlign w:val="center"/>
          </w:tcPr>
          <w:p>
            <w:pPr>
              <w:spacing w:after="20"/>
            </w:pPr>
            <w:r/>
            <w:r>
              <w:rPr>
                <w:rFonts w:ascii="Aptos" w:hAnsi="Aptos"/>
                <w:b w:val="0"/>
                <w:sz w:val="15"/>
              </w:rPr>
              <w:t>Prompt injection</w:t>
            </w:r>
          </w:p>
        </w:tc>
        <w:tc>
          <w:tcPr>
            <w:tcW w:type="dxa" w:w="3331"/>
            <w:vAlign w:val="center"/>
          </w:tcPr>
          <w:p>
            <w:pPr>
              <w:spacing w:after="20"/>
            </w:pPr>
            <w:r/>
            <w:r>
              <w:rPr>
                <w:rFonts w:ascii="Aptos" w:hAnsi="Aptos"/>
                <w:b w:val="0"/>
                <w:sz w:val="15"/>
              </w:rPr>
              <w:t>A source page tells the model to ignore instructions or reveal secrets.</w:t>
            </w:r>
          </w:p>
        </w:tc>
        <w:tc>
          <w:tcPr>
            <w:tcW w:type="dxa" w:w="3331"/>
            <w:vAlign w:val="center"/>
          </w:tcPr>
          <w:p>
            <w:pPr>
              <w:spacing w:after="20"/>
            </w:pPr>
            <w:r/>
            <w:r>
              <w:rPr>
                <w:rFonts w:ascii="Aptos" w:hAnsi="Aptos"/>
                <w:b w:val="0"/>
                <w:sz w:val="15"/>
              </w:rPr>
              <w:t>Treat as untrusted data; no policy override.</w:t>
            </w:r>
          </w:p>
        </w:tc>
      </w:tr>
      <w:tr>
        <w:tc>
          <w:tcPr>
            <w:tcW w:type="dxa" w:w="3331"/>
            <w:vAlign w:val="center"/>
          </w:tcPr>
          <w:p>
            <w:pPr>
              <w:spacing w:after="20"/>
            </w:pPr>
            <w:r/>
            <w:r>
              <w:rPr>
                <w:rFonts w:ascii="Aptos" w:hAnsi="Aptos"/>
                <w:b w:val="0"/>
                <w:sz w:val="15"/>
              </w:rPr>
              <w:t>Provider outage/rate limit</w:t>
            </w:r>
          </w:p>
        </w:tc>
        <w:tc>
          <w:tcPr>
            <w:tcW w:type="dxa" w:w="3331"/>
            <w:vAlign w:val="center"/>
          </w:tcPr>
          <w:p>
            <w:pPr>
              <w:spacing w:after="20"/>
            </w:pPr>
            <w:r/>
            <w:r>
              <w:rPr>
                <w:rFonts w:ascii="Aptos" w:hAnsi="Aptos"/>
                <w:b w:val="0"/>
                <w:sz w:val="15"/>
              </w:rPr>
              <w:t>OpenRouter/provider returns transient errors.</w:t>
            </w:r>
          </w:p>
        </w:tc>
        <w:tc>
          <w:tcPr>
            <w:tcW w:type="dxa" w:w="3331"/>
            <w:vAlign w:val="center"/>
          </w:tcPr>
          <w:p>
            <w:pPr>
              <w:spacing w:after="20"/>
            </w:pPr>
            <w:r/>
            <w:r>
              <w:rPr>
                <w:rFonts w:ascii="Aptos" w:hAnsi="Aptos"/>
                <w:b w:val="0"/>
                <w:sz w:val="15"/>
              </w:rPr>
              <w:t>Bounded retry, state preserved, no duplicate publish.</w:t>
            </w:r>
          </w:p>
        </w:tc>
      </w:tr>
      <w:tr>
        <w:tc>
          <w:tcPr>
            <w:tcW w:type="dxa" w:w="3331"/>
            <w:vAlign w:val="center"/>
          </w:tcPr>
          <w:p>
            <w:pPr>
              <w:spacing w:after="20"/>
            </w:pPr>
            <w:r/>
            <w:r>
              <w:rPr>
                <w:rFonts w:ascii="Aptos" w:hAnsi="Aptos"/>
                <w:b w:val="0"/>
                <w:sz w:val="15"/>
              </w:rPr>
              <w:t>Malformed model output</w:t>
            </w:r>
          </w:p>
        </w:tc>
        <w:tc>
          <w:tcPr>
            <w:tcW w:type="dxa" w:w="3331"/>
            <w:vAlign w:val="center"/>
          </w:tcPr>
          <w:p>
            <w:pPr>
              <w:spacing w:after="20"/>
            </w:pPr>
            <w:r/>
            <w:r>
              <w:rPr>
                <w:rFonts w:ascii="Aptos" w:hAnsi="Aptos"/>
                <w:b w:val="0"/>
                <w:sz w:val="15"/>
              </w:rPr>
              <w:t>JSON/schema invalid, truncated, refusal or empty output.</w:t>
            </w:r>
          </w:p>
        </w:tc>
        <w:tc>
          <w:tcPr>
            <w:tcW w:type="dxa" w:w="3331"/>
            <w:vAlign w:val="center"/>
          </w:tcPr>
          <w:p>
            <w:pPr>
              <w:spacing w:after="20"/>
            </w:pPr>
            <w:r/>
            <w:r>
              <w:rPr>
                <w:rFonts w:ascii="Aptos" w:hAnsi="Aptos"/>
                <w:b w:val="0"/>
                <w:sz w:val="15"/>
              </w:rPr>
              <w:t>Repair only within limits; otherwise fail safely.</w:t>
            </w:r>
          </w:p>
        </w:tc>
      </w:tr>
      <w:tr>
        <w:tc>
          <w:tcPr>
            <w:tcW w:type="dxa" w:w="3331"/>
            <w:vAlign w:val="center"/>
          </w:tcPr>
          <w:p>
            <w:pPr>
              <w:spacing w:after="20"/>
            </w:pPr>
            <w:r/>
            <w:r>
              <w:rPr>
                <w:rFonts w:ascii="Aptos" w:hAnsi="Aptos"/>
                <w:b w:val="0"/>
                <w:sz w:val="15"/>
              </w:rPr>
              <w:t>Publish timeout</w:t>
            </w:r>
          </w:p>
        </w:tc>
        <w:tc>
          <w:tcPr>
            <w:tcW w:type="dxa" w:w="3331"/>
            <w:vAlign w:val="center"/>
          </w:tcPr>
          <w:p>
            <w:pPr>
              <w:spacing w:after="20"/>
            </w:pPr>
            <w:r/>
            <w:r>
              <w:rPr>
                <w:rFonts w:ascii="Aptos" w:hAnsi="Aptos"/>
                <w:b w:val="0"/>
                <w:sz w:val="15"/>
              </w:rPr>
              <w:t>Remote publish may have succeeded but response was lost.</w:t>
            </w:r>
          </w:p>
        </w:tc>
        <w:tc>
          <w:tcPr>
            <w:tcW w:type="dxa" w:w="3331"/>
            <w:vAlign w:val="center"/>
          </w:tcPr>
          <w:p>
            <w:pPr>
              <w:spacing w:after="20"/>
            </w:pPr>
            <w:r/>
            <w:r>
              <w:rPr>
                <w:rFonts w:ascii="Aptos" w:hAnsi="Aptos"/>
                <w:b w:val="0"/>
                <w:sz w:val="15"/>
              </w:rPr>
              <w:t>Reconcile by idempotency key before retry.</w:t>
            </w:r>
          </w:p>
        </w:tc>
      </w:tr>
      <w:tr>
        <w:tc>
          <w:tcPr>
            <w:tcW w:type="dxa" w:w="3331"/>
            <w:vAlign w:val="center"/>
          </w:tcPr>
          <w:p>
            <w:pPr>
              <w:spacing w:after="20"/>
            </w:pPr>
            <w:r/>
            <w:r>
              <w:rPr>
                <w:rFonts w:ascii="Aptos" w:hAnsi="Aptos"/>
                <w:b w:val="0"/>
                <w:sz w:val="15"/>
              </w:rPr>
              <w:t>Invalid internal URL</w:t>
            </w:r>
          </w:p>
        </w:tc>
        <w:tc>
          <w:tcPr>
            <w:tcW w:type="dxa" w:w="3331"/>
            <w:vAlign w:val="center"/>
          </w:tcPr>
          <w:p>
            <w:pPr>
              <w:spacing w:after="20"/>
            </w:pPr>
            <w:r/>
            <w:r>
              <w:rPr>
                <w:rFonts w:ascii="Aptos" w:hAnsi="Aptos"/>
                <w:b w:val="0"/>
                <w:sz w:val="15"/>
              </w:rPr>
              <w:t>Link returns 404, wrong canonical or wrong-site domain.</w:t>
            </w:r>
          </w:p>
        </w:tc>
        <w:tc>
          <w:tcPr>
            <w:tcW w:type="dxa" w:w="3331"/>
            <w:vAlign w:val="center"/>
          </w:tcPr>
          <w:p>
            <w:pPr>
              <w:spacing w:after="20"/>
            </w:pPr>
            <w:r/>
            <w:r>
              <w:rPr>
                <w:rFonts w:ascii="Aptos" w:hAnsi="Aptos"/>
                <w:b w:val="0"/>
                <w:sz w:val="15"/>
              </w:rPr>
              <w:t>Hard fail or remove link and rerun validation.</w:t>
            </w:r>
          </w:p>
        </w:tc>
      </w:tr>
      <w:tr>
        <w:tc>
          <w:tcPr>
            <w:tcW w:type="dxa" w:w="3331"/>
            <w:vAlign w:val="center"/>
          </w:tcPr>
          <w:p>
            <w:pPr>
              <w:spacing w:after="20"/>
            </w:pPr>
            <w:r/>
            <w:r>
              <w:rPr>
                <w:rFonts w:ascii="Aptos" w:hAnsi="Aptos"/>
                <w:b w:val="0"/>
                <w:sz w:val="15"/>
              </w:rPr>
              <w:t>Stale source</w:t>
            </w:r>
          </w:p>
        </w:tc>
        <w:tc>
          <w:tcPr>
            <w:tcW w:type="dxa" w:w="3331"/>
            <w:vAlign w:val="center"/>
          </w:tcPr>
          <w:p>
            <w:pPr>
              <w:spacing w:after="20"/>
            </w:pPr>
            <w:r/>
            <w:r>
              <w:rPr>
                <w:rFonts w:ascii="Aptos" w:hAnsi="Aptos"/>
                <w:b w:val="0"/>
                <w:sz w:val="15"/>
              </w:rPr>
              <w:t>Time-sensitive source exceeds configured freshness policy.</w:t>
            </w:r>
          </w:p>
        </w:tc>
        <w:tc>
          <w:tcPr>
            <w:tcW w:type="dxa" w:w="3331"/>
            <w:vAlign w:val="center"/>
          </w:tcPr>
          <w:p>
            <w:pPr>
              <w:spacing w:after="20"/>
            </w:pPr>
            <w:r/>
            <w:r>
              <w:rPr>
                <w:rFonts w:ascii="Aptos" w:hAnsi="Aptos"/>
                <w:b w:val="0"/>
                <w:sz w:val="15"/>
              </w:rPr>
              <w:t>Refresh evidence or quarantine.</w:t>
            </w:r>
          </w:p>
        </w:tc>
      </w:tr>
      <w:tr>
        <w:tc>
          <w:tcPr>
            <w:tcW w:type="dxa" w:w="3331"/>
            <w:vAlign w:val="center"/>
          </w:tcPr>
          <w:p>
            <w:pPr>
              <w:spacing w:after="20"/>
            </w:pPr>
            <w:r/>
            <w:r>
              <w:rPr>
                <w:rFonts w:ascii="Aptos" w:hAnsi="Aptos"/>
                <w:b w:val="0"/>
                <w:sz w:val="15"/>
              </w:rPr>
              <w:t>Secret leakage</w:t>
            </w:r>
          </w:p>
        </w:tc>
        <w:tc>
          <w:tcPr>
            <w:tcW w:type="dxa" w:w="3331"/>
            <w:vAlign w:val="center"/>
          </w:tcPr>
          <w:p>
            <w:pPr>
              <w:spacing w:after="20"/>
            </w:pPr>
            <w:r/>
            <w:r>
              <w:rPr>
                <w:rFonts w:ascii="Aptos" w:hAnsi="Aptos"/>
                <w:b w:val="0"/>
                <w:sz w:val="15"/>
              </w:rPr>
              <w:t>Output/log includes API key or credential.</w:t>
            </w:r>
          </w:p>
        </w:tc>
        <w:tc>
          <w:tcPr>
            <w:tcW w:type="dxa" w:w="3331"/>
            <w:vAlign w:val="center"/>
          </w:tcPr>
          <w:p>
            <w:pPr>
              <w:spacing w:after="20"/>
            </w:pPr>
            <w:r/>
            <w:r>
              <w:rPr>
                <w:rFonts w:ascii="Aptos" w:hAnsi="Aptos"/>
                <w:b w:val="0"/>
                <w:sz w:val="15"/>
              </w:rPr>
              <w:t>Redact, alert, test fails.</w:t>
            </w:r>
          </w:p>
        </w:tc>
      </w:tr>
      <w:tr>
        <w:tc>
          <w:tcPr>
            <w:tcW w:type="dxa" w:w="3331"/>
            <w:vAlign w:val="center"/>
          </w:tcPr>
          <w:p>
            <w:pPr>
              <w:spacing w:after="20"/>
            </w:pPr>
            <w:r/>
            <w:r>
              <w:rPr>
                <w:rFonts w:ascii="Aptos" w:hAnsi="Aptos"/>
                <w:b w:val="0"/>
                <w:sz w:val="15"/>
              </w:rPr>
              <w:t>Duplicate scheduler run</w:t>
            </w:r>
          </w:p>
        </w:tc>
        <w:tc>
          <w:tcPr>
            <w:tcW w:type="dxa" w:w="3331"/>
            <w:vAlign w:val="center"/>
          </w:tcPr>
          <w:p>
            <w:pPr>
              <w:spacing w:after="20"/>
            </w:pPr>
            <w:r/>
            <w:r>
              <w:rPr>
                <w:rFonts w:ascii="Aptos" w:hAnsi="Aptos"/>
                <w:b w:val="0"/>
                <w:sz w:val="15"/>
              </w:rPr>
              <w:t>Two executions start the same job.</w:t>
            </w:r>
          </w:p>
        </w:tc>
        <w:tc>
          <w:tcPr>
            <w:tcW w:type="dxa" w:w="3331"/>
            <w:vAlign w:val="center"/>
          </w:tcPr>
          <w:p>
            <w:pPr>
              <w:spacing w:after="20"/>
            </w:pPr>
            <w:r/>
            <w:r>
              <w:rPr>
                <w:rFonts w:ascii="Aptos" w:hAnsi="Aptos"/>
                <w:b w:val="0"/>
                <w:sz w:val="15"/>
              </w:rPr>
              <w:t>Lock/idempotency prevents duplicate publication.</w:t>
            </w:r>
          </w:p>
        </w:tc>
      </w:tr>
      <w:tr>
        <w:tc>
          <w:tcPr>
            <w:tcW w:type="dxa" w:w="3331"/>
            <w:vAlign w:val="center"/>
          </w:tcPr>
          <w:p>
            <w:pPr>
              <w:spacing w:after="20"/>
            </w:pPr>
            <w:r/>
            <w:r>
              <w:rPr>
                <w:rFonts w:ascii="Aptos" w:hAnsi="Aptos"/>
                <w:b w:val="0"/>
                <w:sz w:val="15"/>
              </w:rPr>
              <w:t>Recovery</w:t>
            </w:r>
          </w:p>
        </w:tc>
        <w:tc>
          <w:tcPr>
            <w:tcW w:type="dxa" w:w="3331"/>
            <w:vAlign w:val="center"/>
          </w:tcPr>
          <w:p>
            <w:pPr>
              <w:spacing w:after="20"/>
            </w:pPr>
            <w:r/>
            <w:r>
              <w:rPr>
                <w:rFonts w:ascii="Aptos" w:hAnsi="Aptos"/>
                <w:b w:val="0"/>
                <w:sz w:val="15"/>
              </w:rPr>
              <w:t>Process crashes mid-stage and restarts.</w:t>
            </w:r>
          </w:p>
        </w:tc>
        <w:tc>
          <w:tcPr>
            <w:tcW w:type="dxa" w:w="3331"/>
            <w:vAlign w:val="center"/>
          </w:tcPr>
          <w:p>
            <w:pPr>
              <w:spacing w:after="20"/>
            </w:pPr>
            <w:r/>
            <w:r>
              <w:rPr>
                <w:rFonts w:ascii="Aptos" w:hAnsi="Aptos"/>
                <w:b w:val="0"/>
                <w:sz w:val="15"/>
              </w:rPr>
              <w:t>Resume from last verified checkpoint.</w:t>
            </w:r>
          </w:p>
        </w:tc>
      </w:tr>
    </w:tbl>
    <w:p>
      <w:r>
        <w:t>Create a fixed regression corpus from real prior failures, including the previously supplied AOD-9604 analytical-method article. Treat it as a test fixture, not a trusted source. Tests should catch its suspicious/mismatched references, unsupported numerical claims, inconsistent method conditions, placeholder tables, repetition and questionable media-domain associations. Do not hardcode assumptions about that example into general logic; tests must verify the underlying rules.</w:t>
      </w:r>
    </w:p>
    <w:p>
      <w:pPr>
        <w:pStyle w:val="Heading1"/>
      </w:pPr>
      <w:r>
        <w:t>19. Acceptance criteria / definition of done</w:t>
      </w:r>
    </w:p>
    <w:p>
      <w:pPr>
        <w:pStyle w:val="ListBullet"/>
        <w:spacing w:after="40"/>
      </w:pPr>
      <w:r>
        <w:t>The agent has documented the actual current architecture and obtained approval for a staged migration plan before destructive changes.</w:t>
      </w:r>
    </w:p>
    <w:p>
      <w:pPr>
        <w:pStyle w:val="ListBullet"/>
        <w:spacing w:after="40"/>
      </w:pPr>
      <w:r>
        <w:t>Each article has a durable record with a full evidence ledger, versioned brief, model/config provenance, check results and publish outcome.</w:t>
      </w:r>
    </w:p>
    <w:p>
      <w:pPr>
        <w:pStyle w:val="ListBullet"/>
        <w:spacing w:after="40"/>
      </w:pPr>
      <w:r>
        <w:t>The system can resume after a crash and cannot publish the same article twice due to retries or overlapping schedules.</w:t>
      </w:r>
    </w:p>
    <w:p>
      <w:pPr>
        <w:pStyle w:val="ListBullet"/>
        <w:spacing w:after="40"/>
      </w:pPr>
      <w:r>
        <w:t>Each site is isolated by explicit IDs, configuration, URLs, media namespaces, internal-link inventory and credentials.</w:t>
      </w:r>
    </w:p>
    <w:p>
      <w:pPr>
        <w:pStyle w:val="ListBullet"/>
        <w:spacing w:after="40"/>
      </w:pPr>
      <w:r>
        <w:t>Critical citations are checked for both existence and support; fabricated/mismatched references block publication.</w:t>
      </w:r>
    </w:p>
    <w:p>
      <w:pPr>
        <w:pStyle w:val="ListBullet"/>
        <w:spacing w:after="40"/>
      </w:pPr>
      <w:r>
        <w:t>All material factual claims are supported, appropriately qualified, or removed.</w:t>
      </w:r>
    </w:p>
    <w:p>
      <w:pPr>
        <w:pStyle w:val="ListBullet"/>
        <w:spacing w:after="40"/>
      </w:pPr>
      <w:r>
        <w:t>Similarity analysis compares against sources and relevant existing/network content, with inspectable reports and quarantine rules.</w:t>
      </w:r>
    </w:p>
    <w:p>
      <w:pPr>
        <w:pStyle w:val="ListBullet"/>
        <w:spacing w:after="40"/>
      </w:pPr>
      <w:r>
        <w:t>No page is published without passing every mandatory gate; score cannot override a hard failure.</w:t>
      </w:r>
    </w:p>
    <w:p>
      <w:pPr>
        <w:pStyle w:val="ListBullet"/>
        <w:spacing w:after="40"/>
      </w:pPr>
      <w:r>
        <w:t>The publisher verifies the live URL after publishing and can reconcile ambiguous outcomes safely.</w:t>
      </w:r>
    </w:p>
    <w:p>
      <w:pPr>
        <w:pStyle w:val="ListBullet"/>
        <w:spacing w:after="40"/>
      </w:pPr>
      <w:r>
        <w:t>A site-specific kill switch, bounded retries, alerts, backups, tested restoration and documented rollback exist.</w:t>
      </w:r>
    </w:p>
    <w:p>
      <w:pPr>
        <w:pStyle w:val="ListBullet"/>
        <w:spacing w:after="40"/>
      </w:pPr>
      <w:r>
        <w:t>Regression tests include every known failure mode and run on every relevant change.</w:t>
      </w:r>
    </w:p>
    <w:p>
      <w:pPr>
        <w:pStyle w:val="ListBullet"/>
        <w:spacing w:after="40"/>
      </w:pPr>
      <w:r>
        <w:t>No secret is committed or emitted in logs; access is least-privilege.</w:t>
      </w:r>
    </w:p>
    <w:p>
      <w:pPr>
        <w:pStyle w:val="ListBullet"/>
        <w:spacing w:after="40"/>
      </w:pPr>
      <w:r>
        <w:t>The system reports actual test results, known limitations and unresolved risks; it does not claim universal hallucination/plagiarism immunity.</w:t>
      </w:r>
    </w:p>
    <w:p>
      <w:pPr>
        <w:pStyle w:val="Heading1"/>
      </w:pPr>
      <w:r>
        <w:t>20. Required deliverables from the coding agent</w:t>
      </w:r>
    </w:p>
    <w:p>
      <w:pPr>
        <w:pStyle w:val="ListBullet"/>
        <w:spacing w:after="40"/>
      </w:pPr>
      <w:r>
        <w:t>Repository audit and current-state architecture diagram.</w:t>
      </w:r>
    </w:p>
    <w:p>
      <w:pPr>
        <w:pStyle w:val="ListBullet"/>
        <w:spacing w:after="40"/>
      </w:pPr>
      <w:r>
        <w:t>Proposed target architecture and staged migration/rollback plan.</w:t>
      </w:r>
    </w:p>
    <w:p>
      <w:pPr>
        <w:pStyle w:val="ListBullet"/>
        <w:spacing w:after="40"/>
      </w:pPr>
      <w:r>
        <w:t>Database schema/migrations for jobs, sites, briefs, sources, evidence, article versions, validation reports and publishing events.</w:t>
      </w:r>
    </w:p>
    <w:p>
      <w:pPr>
        <w:pStyle w:val="ListBullet"/>
        <w:spacing w:after="40"/>
      </w:pPr>
      <w:r>
        <w:t>n8n workflow definitions with clear names, error paths, retries, timeouts, alerts and no hardcoded secrets.</w:t>
      </w:r>
    </w:p>
    <w:p>
      <w:pPr>
        <w:pStyle w:val="ListBullet"/>
        <w:spacing w:after="40"/>
      </w:pPr>
      <w:r>
        <w:t>Content-engine service/package with typed contracts, unit tests and versioned policy/config.</w:t>
      </w:r>
    </w:p>
    <w:p>
      <w:pPr>
        <w:pStyle w:val="ListBullet"/>
        <w:spacing w:after="40"/>
      </w:pPr>
      <w:r>
        <w:t>OpenRouter model catalog discovery, benchmark harness, routing policy and tested fallback behavior.</w:t>
      </w:r>
    </w:p>
    <w:p>
      <w:pPr>
        <w:pStyle w:val="ListBullet"/>
        <w:spacing w:after="40"/>
      </w:pPr>
      <w:r>
        <w:t>Source acquisition and citation verification adapters with provenance.</w:t>
      </w:r>
    </w:p>
    <w:p>
      <w:pPr>
        <w:pStyle w:val="ListBullet"/>
        <w:spacing w:after="40"/>
      </w:pPr>
      <w:r>
        <w:t>Claim extraction/support verification and originality/similarity checks.</w:t>
      </w:r>
    </w:p>
    <w:p>
      <w:pPr>
        <w:pStyle w:val="ListBullet"/>
        <w:spacing w:after="40"/>
      </w:pPr>
      <w:r>
        <w:t>Site-specific internal-link inventory and publishing adapters.</w:t>
      </w:r>
    </w:p>
    <w:p>
      <w:pPr>
        <w:pStyle w:val="ListBullet"/>
        <w:spacing w:after="40"/>
      </w:pPr>
      <w:r>
        <w:t>Hard-gate policy engine, quarantine process, kill switch and post-publish verification.</w:t>
      </w:r>
    </w:p>
    <w:p>
      <w:pPr>
        <w:pStyle w:val="ListBullet"/>
        <w:spacing w:after="40"/>
      </w:pPr>
      <w:r>
        <w:t>Monitoring dashboards/alerts, backup/restore instructions, deployment guide and operations runbook.</w:t>
      </w:r>
    </w:p>
    <w:p>
      <w:pPr>
        <w:pStyle w:val="ListBullet"/>
        <w:spacing w:after="40"/>
      </w:pPr>
      <w:r>
        <w:t>Regression suite, including all failure cases in this specification and a report of executed tests.</w:t>
      </w:r>
    </w:p>
    <w:p>
      <w:pPr>
        <w:pStyle w:val="ListBullet"/>
        <w:spacing w:after="40"/>
      </w:pPr>
      <w:r>
        <w:t>Final handover: environment variables list with descriptions (no values), deployment/upgrade procedure, known limitations, and exact commands used to test.</w:t>
      </w:r>
    </w:p>
    <w:p>
      <w:pPr>
        <w:pStyle w:val="Heading1"/>
      </w:pPr>
      <w:r>
        <w:t>21. Exact working instructions to the coding agent</w:t>
      </w:r>
    </w:p>
    <w:tbl>
      <w:tblPr>
        <w:tblW w:type="auto" w:w="0"/>
        <w:jc w:val="center"/>
        <w:tblLook w:firstColumn="1" w:firstRow="1" w:lastColumn="0" w:lastRow="0" w:noHBand="0" w:noVBand="1" w:val="04A0"/>
      </w:tblPr>
      <w:tblGrid>
        <w:gridCol w:w="9994"/>
      </w:tblGrid>
      <w:tr>
        <w:tc>
          <w:tcPr>
            <w:tcW w:type="dxa" w:w="9994"/>
            <w:shd w:fill="EAF2F3"/>
          </w:tcPr>
          <w:p>
            <w:pPr>
              <w:spacing w:after="60"/>
            </w:pPr>
            <w:r>
              <w:rPr>
                <w:b/>
                <w:color w:val="003B46"/>
                <w:sz w:val="20"/>
              </w:rPr>
              <w:t>Execution contract</w:t>
              <w:br/>
            </w:r>
            <w:r>
              <w:rPr>
                <w:sz w:val="18"/>
              </w:rPr>
              <w:t>Do not immediately start rewriting the application. First inspect the repository and report what exists. Do not guess the stack, invent files, assume APIs, or claim success without running commands. Preserve working behavior unless a change is justified. Make small commits or clearly separated changes. Add tests before relying on a new quality gate. If required credentials or external access are unavailable, implement the adapter and test with mocks, then explicitly state what could not be verified.</w:t>
            </w:r>
          </w:p>
        </w:tc>
      </w:tr>
    </w:tbl>
    <w:p>
      <w:pPr>
        <w:spacing w:after="0"/>
      </w:pPr>
    </w:p>
    <w:p>
      <w:pPr>
        <w:pStyle w:val="ListNumber"/>
        <w:spacing w:after="40"/>
      </w:pPr>
      <w:r>
        <w:t>Phase 1 — Audit: inspect repository, deployment, workflows, data model, article examples and logs. Deliver findings and staged plan.</w:t>
      </w:r>
    </w:p>
    <w:p>
      <w:pPr>
        <w:pStyle w:val="ListNumber"/>
        <w:spacing w:after="40"/>
      </w:pPr>
      <w:r>
        <w:t>Phase 2 — Foundation: implement durable state machine, site isolation, structured logging, idempotency and test harness.</w:t>
      </w:r>
    </w:p>
    <w:p>
      <w:pPr>
        <w:pStyle w:val="ListNumber"/>
        <w:spacing w:after="40"/>
      </w:pPr>
      <w:r>
        <w:t>Phase 3 — Evidence pipeline: source adapters, evidence ledger, identifier resolution, claim support checks and source freshness.</w:t>
      </w:r>
    </w:p>
    <w:p>
      <w:pPr>
        <w:pStyle w:val="ListNumber"/>
        <w:spacing w:after="40"/>
      </w:pPr>
      <w:r>
        <w:t>Phase 4 — Editorial pipeline: brief, original contribution gate, drafting, editing, consistency checks and similarity reporting.</w:t>
      </w:r>
    </w:p>
    <w:p>
      <w:pPr>
        <w:pStyle w:val="ListNumber"/>
        <w:spacing w:after="40"/>
      </w:pPr>
      <w:r>
        <w:t>Phase 5 — Publishing: target-site validation, draft-only mode, idempotent publishing, live verification and rollback.</w:t>
      </w:r>
    </w:p>
    <w:p>
      <w:pPr>
        <w:pStyle w:val="ListNumber"/>
        <w:spacing w:after="40"/>
      </w:pPr>
      <w:r>
        <w:t>Phase 6 — n8n orchestration: implement workflow imports/exports, bounded retries, timeouts, alerts and safe recovery.</w:t>
      </w:r>
    </w:p>
    <w:p>
      <w:pPr>
        <w:pStyle w:val="ListNumber"/>
        <w:spacing w:after="40"/>
      </w:pPr>
      <w:r>
        <w:t>Phase 7 — Qualification: run regression corpus, shadow-mode evaluation, compare against baseline, fix failures and document results.</w:t>
      </w:r>
    </w:p>
    <w:p>
      <w:pPr>
        <w:pStyle w:val="ListNumber"/>
        <w:spacing w:after="40"/>
      </w:pPr>
      <w:r>
        <w:t>Phase 8 — Controlled release: start draft-only; enable unattended publication only for a defined low-risk class after acceptance tests pass.</w:t>
      </w:r>
    </w:p>
    <w:p>
      <w:pPr>
        <w:pStyle w:val="Heading1"/>
      </w:pPr>
      <w:r>
        <w:t>22. Final principle</w:t>
      </w:r>
    </w:p>
    <w:p>
      <w:r>
        <w:rPr>
          <w:b/>
          <w:color w:val="003B46"/>
          <w:sz w:val="26"/>
        </w:rPr>
        <w:t>The system is successful when it reliably refuses to publish content it cannot defend.</w:t>
      </w:r>
    </w:p>
    <w:p>
      <w:r>
        <w:t>Do not reward output volume, length, confidence, detector scores, or the appearance of sophistication. Reward supported claims, source fidelity, useful original synthesis, clarity, correct site behavior, reader outcomes, recoverability and honest uncertainty. A durable autonomous system is not one that never encounters failure; it is one that detects failure early, avoids compounding it, preserves evidence, and recovers safely.</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3"/>
        <w:sz w:val="16"/>
      </w:rPr>
      <w:t>Engineering brief • Version 1.0 • 22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A6E73"/>
        <w:sz w:val="16"/>
      </w:rPr>
      <w:t>AUTONOMOUS MULTI-SITE CONTENT ENGINE  |  IMPLEMENTATION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6303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3B46"/>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122620"/>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005A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003B4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