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B8A6"/>
          <w:sz w:val="60"/>
        </w:rPr>
        <w:t>PULSE</w:t>
        <w:br/>
        <w:t>ANALYTICS</w:t>
      </w:r>
    </w:p>
    <w:p>
      <w:pPr>
        <w:jc w:val="center"/>
      </w:pPr>
      <w:r>
        <w:rPr>
          <w:b/>
          <w:color w:val="17202A"/>
          <w:sz w:val="46"/>
        </w:rPr>
        <w:t>SaaS Product Analytics &amp; User Behavior Dashboard</w:t>
      </w:r>
    </w:p>
    <w:p>
      <w:pPr>
        <w:jc w:val="center"/>
      </w:pPr>
      <w:r>
        <w:rPr>
          <w:color w:val="475569"/>
          <w:sz w:val="22"/>
        </w:rPr>
        <w:t>Business Analysis • KPI Engineering • Funnel • Cohort Retention • Power BI</w:t>
      </w:r>
    </w:p>
    <w:p/>
    <w:p>
      <w:r>
        <w:rPr>
          <w:b/>
        </w:rPr>
        <w:t xml:space="preserve">Project purpose: </w:t>
      </w:r>
      <w:r>
        <w:t>Transform user, subscription, and product-event data into a business-facing SaaS analytics solution covering acquisition, engagement, conversion, monetization, churn, and retention.</w:t>
      </w:r>
    </w:p>
    <w:p>
      <w:r>
        <w:br w:type="page"/>
      </w:r>
    </w:p>
    <w:p>
      <w:pPr>
        <w:pStyle w:val="Heading1"/>
      </w:pPr>
      <w:r>
        <w:t>1. Executive Summary</w:t>
      </w:r>
    </w:p>
    <w:p>
      <w:r>
        <w:t>PULSE Analytics is an end-to-end SaaS product analytics project built to demonstrate how raw customer, subscription, and product-event data can be converted into decision-ready business metrics and an interactive Power BI analytics product.</w:t>
      </w:r>
    </w:p>
    <w:p>
      <w:r>
        <w:t>The dataset contains 2,000 users, 2,000 subscription records, and 33,987 user-event records. The analysis follows the customer lifecycle from acquisition to engagement, paid conversion, recurring revenue, churn, and cohort-based activity retention.</w:t>
      </w:r>
    </w:p>
    <w:p>
      <w:r>
        <w:t>The final dashboard is organized into four pages: Executive Overview, Growth &amp; Acquisition, Revenue &amp; Monetization, and Retention &amp; Engagement.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2A"/>
          </w:tcPr>
          <w:p>
            <w:r>
              <w:rPr>
                <w:rFonts w:ascii="Aptos" w:hAnsi="Aptos"/>
                <w:b/>
                <w:color w:val="FFFFFF"/>
                <w:sz w:val="18"/>
              </w:rPr>
              <w:t>KPI</w:t>
            </w:r>
          </w:p>
        </w:tc>
        <w:tc>
          <w:tcPr>
            <w:tcW w:type="dxa" w:w="3360"/>
            <w:shd w:fill="17202A"/>
          </w:tcPr>
          <w:p>
            <w:r>
              <w:rPr>
                <w:rFonts w:ascii="Aptos" w:hAnsi="Aptos"/>
                <w:b/>
                <w:color w:val="FFFFFF"/>
                <w:sz w:val="18"/>
              </w:rPr>
              <w:t>Current / Overall View</w:t>
            </w:r>
          </w:p>
        </w:tc>
        <w:tc>
          <w:tcPr>
            <w:tcW w:type="dxa" w:w="3360"/>
            <w:shd w:fill="17202A"/>
          </w:tcPr>
          <w:p>
            <w:r>
              <w:rPr>
                <w:rFonts w:ascii="Aptos" w:hAnsi="Aptos"/>
                <w:b/>
                <w:color w:val="FFFFFF"/>
                <w:sz w:val="18"/>
              </w:rPr>
              <w:t>Business Question</w:t>
            </w:r>
          </w:p>
        </w:tc>
      </w:tr>
      <w:tr>
        <w:tc>
          <w:tcPr>
            <w:tcW w:type="dxa" w:w="3360"/>
          </w:tcPr>
          <w:p>
            <w:r>
              <w:rPr>
                <w:rFonts w:ascii="Aptos" w:hAnsi="Aptos"/>
                <w:b w:val="0"/>
                <w:color w:val="17202A"/>
                <w:sz w:val="18"/>
              </w:rPr>
              <w:t>MAU</w:t>
            </w:r>
          </w:p>
        </w:tc>
        <w:tc>
          <w:tcPr>
            <w:tcW w:type="dxa" w:w="3360"/>
          </w:tcPr>
          <w:p>
            <w:r>
              <w:rPr>
                <w:rFonts w:ascii="Aptos" w:hAnsi="Aptos"/>
                <w:b w:val="0"/>
                <w:color w:val="17202A"/>
                <w:sz w:val="18"/>
              </w:rPr>
              <w:t>2,000 overall</w:t>
            </w:r>
          </w:p>
        </w:tc>
        <w:tc>
          <w:tcPr>
            <w:tcW w:type="dxa" w:w="3360"/>
          </w:tcPr>
          <w:p>
            <w:r>
              <w:rPr>
                <w:rFonts w:ascii="Aptos" w:hAnsi="Aptos"/>
                <w:b w:val="0"/>
                <w:color w:val="17202A"/>
                <w:sz w:val="18"/>
              </w:rPr>
              <w:t>How many users are active?</w:t>
            </w:r>
          </w:p>
        </w:tc>
      </w:tr>
      <w:tr>
        <w:tc>
          <w:tcPr>
            <w:tcW w:type="dxa" w:w="3360"/>
          </w:tcPr>
          <w:p>
            <w:r>
              <w:rPr>
                <w:rFonts w:ascii="Aptos" w:hAnsi="Aptos"/>
                <w:b w:val="0"/>
                <w:color w:val="17202A"/>
                <w:sz w:val="18"/>
              </w:rPr>
              <w:t>MRR</w:t>
            </w:r>
          </w:p>
        </w:tc>
        <w:tc>
          <w:tcPr>
            <w:tcW w:type="dxa" w:w="3360"/>
          </w:tcPr>
          <w:p>
            <w:r>
              <w:rPr>
                <w:rFonts w:ascii="Aptos" w:hAnsi="Aptos"/>
                <w:b w:val="0"/>
                <w:color w:val="17202A"/>
                <w:sz w:val="18"/>
              </w:rPr>
              <w:t>≈ ₹2M latest snapshot</w:t>
            </w:r>
          </w:p>
        </w:tc>
        <w:tc>
          <w:tcPr>
            <w:tcW w:type="dxa" w:w="3360"/>
          </w:tcPr>
          <w:p>
            <w:r>
              <w:rPr>
                <w:rFonts w:ascii="Aptos" w:hAnsi="Aptos"/>
                <w:b w:val="0"/>
                <w:color w:val="17202A"/>
                <w:sz w:val="18"/>
              </w:rPr>
              <w:t>What recurring revenue base is represented?</w:t>
            </w:r>
          </w:p>
        </w:tc>
      </w:tr>
      <w:tr>
        <w:tc>
          <w:tcPr>
            <w:tcW w:type="dxa" w:w="3360"/>
          </w:tcPr>
          <w:p>
            <w:r>
              <w:rPr>
                <w:rFonts w:ascii="Aptos" w:hAnsi="Aptos"/>
                <w:b w:val="0"/>
                <w:color w:val="17202A"/>
                <w:sz w:val="18"/>
              </w:rPr>
              <w:t>ARPU</w:t>
            </w:r>
          </w:p>
        </w:tc>
        <w:tc>
          <w:tcPr>
            <w:tcW w:type="dxa" w:w="3360"/>
          </w:tcPr>
          <w:p>
            <w:r>
              <w:rPr>
                <w:rFonts w:ascii="Aptos" w:hAnsi="Aptos"/>
                <w:b w:val="0"/>
                <w:color w:val="17202A"/>
                <w:sz w:val="18"/>
              </w:rPr>
              <w:t>≈ ₹3,274 latest snapshot</w:t>
            </w:r>
          </w:p>
        </w:tc>
        <w:tc>
          <w:tcPr>
            <w:tcW w:type="dxa" w:w="3360"/>
          </w:tcPr>
          <w:p>
            <w:r>
              <w:rPr>
                <w:rFonts w:ascii="Aptos" w:hAnsi="Aptos"/>
                <w:b w:val="0"/>
                <w:color w:val="17202A"/>
                <w:sz w:val="18"/>
              </w:rPr>
              <w:t>What recurring revenue is generated per paid user?</w:t>
            </w:r>
          </w:p>
        </w:tc>
      </w:tr>
      <w:tr>
        <w:tc>
          <w:tcPr>
            <w:tcW w:type="dxa" w:w="3360"/>
          </w:tcPr>
          <w:p>
            <w:r>
              <w:rPr>
                <w:rFonts w:ascii="Aptos" w:hAnsi="Aptos"/>
                <w:b w:val="0"/>
                <w:color w:val="17202A"/>
                <w:sz w:val="18"/>
              </w:rPr>
              <w:t>Churn Rate</w:t>
            </w:r>
          </w:p>
        </w:tc>
        <w:tc>
          <w:tcPr>
            <w:tcW w:type="dxa" w:w="3360"/>
          </w:tcPr>
          <w:p>
            <w:r>
              <w:rPr>
                <w:rFonts w:ascii="Aptos" w:hAnsi="Aptos"/>
                <w:b w:val="0"/>
                <w:color w:val="17202A"/>
                <w:sz w:val="18"/>
              </w:rPr>
              <w:t>28.8% overall</w:t>
            </w:r>
          </w:p>
        </w:tc>
        <w:tc>
          <w:tcPr>
            <w:tcW w:type="dxa" w:w="3360"/>
          </w:tcPr>
          <w:p>
            <w:r>
              <w:rPr>
                <w:rFonts w:ascii="Aptos" w:hAnsi="Aptos"/>
                <w:b w:val="0"/>
                <w:color w:val="17202A"/>
                <w:sz w:val="18"/>
              </w:rPr>
              <w:t>How much of the user base has churned?</w:t>
            </w:r>
          </w:p>
        </w:tc>
      </w:tr>
      <w:tr>
        <w:tc>
          <w:tcPr>
            <w:tcW w:type="dxa" w:w="3360"/>
          </w:tcPr>
          <w:p>
            <w:r>
              <w:rPr>
                <w:rFonts w:ascii="Aptos" w:hAnsi="Aptos"/>
                <w:b w:val="0"/>
                <w:color w:val="17202A"/>
                <w:sz w:val="18"/>
              </w:rPr>
              <w:t>Paid Conversion</w:t>
            </w:r>
          </w:p>
        </w:tc>
        <w:tc>
          <w:tcPr>
            <w:tcW w:type="dxa" w:w="3360"/>
          </w:tcPr>
          <w:p>
            <w:r>
              <w:rPr>
                <w:rFonts w:ascii="Aptos" w:hAnsi="Aptos"/>
                <w:b w:val="0"/>
                <w:color w:val="17202A"/>
                <w:sz w:val="18"/>
              </w:rPr>
              <w:t>49.4%</w:t>
            </w:r>
          </w:p>
        </w:tc>
        <w:tc>
          <w:tcPr>
            <w:tcW w:type="dxa" w:w="3360"/>
          </w:tcPr>
          <w:p>
            <w:r>
              <w:rPr>
                <w:rFonts w:ascii="Aptos" w:hAnsi="Aptos"/>
                <w:b w:val="0"/>
                <w:color w:val="17202A"/>
                <w:sz w:val="18"/>
              </w:rPr>
              <w:t>How many users convert to paid?</w:t>
            </w:r>
          </w:p>
        </w:tc>
      </w:tr>
      <w:tr>
        <w:tc>
          <w:tcPr>
            <w:tcW w:type="dxa" w:w="3360"/>
          </w:tcPr>
          <w:p>
            <w:r>
              <w:rPr>
                <w:rFonts w:ascii="Aptos" w:hAnsi="Aptos"/>
                <w:b w:val="0"/>
                <w:color w:val="17202A"/>
                <w:sz w:val="18"/>
              </w:rPr>
              <w:t>Paid Users</w:t>
            </w:r>
          </w:p>
        </w:tc>
        <w:tc>
          <w:tcPr>
            <w:tcW w:type="dxa" w:w="3360"/>
          </w:tcPr>
          <w:p>
            <w:r>
              <w:rPr>
                <w:rFonts w:ascii="Aptos" w:hAnsi="Aptos"/>
                <w:b w:val="0"/>
                <w:color w:val="17202A"/>
                <w:sz w:val="18"/>
              </w:rPr>
              <w:t>988</w:t>
            </w:r>
          </w:p>
        </w:tc>
        <w:tc>
          <w:tcPr>
            <w:tcW w:type="dxa" w:w="3360"/>
          </w:tcPr>
          <w:p>
            <w:r>
              <w:rPr>
                <w:rFonts w:ascii="Aptos" w:hAnsi="Aptos"/>
                <w:b w:val="0"/>
                <w:color w:val="17202A"/>
                <w:sz w:val="18"/>
              </w:rPr>
              <w:t>How large is the paid customer base?</w:t>
            </w:r>
          </w:p>
        </w:tc>
      </w:tr>
      <w:tr>
        <w:tc>
          <w:tcPr>
            <w:tcW w:type="dxa" w:w="3360"/>
          </w:tcPr>
          <w:p>
            <w:r>
              <w:rPr>
                <w:rFonts w:ascii="Aptos" w:hAnsi="Aptos"/>
                <w:b w:val="0"/>
                <w:color w:val="17202A"/>
                <w:sz w:val="18"/>
              </w:rPr>
              <w:t>Active Subscribers</w:t>
            </w:r>
          </w:p>
        </w:tc>
        <w:tc>
          <w:tcPr>
            <w:tcW w:type="dxa" w:w="3360"/>
          </w:tcPr>
          <w:p>
            <w:r>
              <w:rPr>
                <w:rFonts w:ascii="Aptos" w:hAnsi="Aptos"/>
                <w:b w:val="0"/>
                <w:color w:val="17202A"/>
                <w:sz w:val="18"/>
              </w:rPr>
              <w:t>1,429 latest snapshot</w:t>
            </w:r>
          </w:p>
        </w:tc>
        <w:tc>
          <w:tcPr>
            <w:tcW w:type="dxa" w:w="3360"/>
          </w:tcPr>
          <w:p>
            <w:r>
              <w:rPr>
                <w:rFonts w:ascii="Aptos" w:hAnsi="Aptos"/>
                <w:b w:val="0"/>
                <w:color w:val="17202A"/>
                <w:sz w:val="18"/>
              </w:rPr>
              <w:t>How many subscriptions are active?</w:t>
            </w:r>
          </w:p>
        </w:tc>
      </w:tr>
      <w:tr>
        <w:tc>
          <w:tcPr>
            <w:tcW w:type="dxa" w:w="3360"/>
          </w:tcPr>
          <w:p>
            <w:r>
              <w:rPr>
                <w:rFonts w:ascii="Aptos" w:hAnsi="Aptos"/>
                <w:b w:val="0"/>
                <w:color w:val="17202A"/>
                <w:sz w:val="18"/>
              </w:rPr>
              <w:t>Avg Session Duration</w:t>
            </w:r>
          </w:p>
        </w:tc>
        <w:tc>
          <w:tcPr>
            <w:tcW w:type="dxa" w:w="3360"/>
          </w:tcPr>
          <w:p>
            <w:r>
              <w:rPr>
                <w:rFonts w:ascii="Aptos" w:hAnsi="Aptos"/>
                <w:b w:val="0"/>
                <w:color w:val="17202A"/>
                <w:sz w:val="18"/>
              </w:rPr>
              <w:t>15.5 min</w:t>
            </w:r>
          </w:p>
        </w:tc>
        <w:tc>
          <w:tcPr>
            <w:tcW w:type="dxa" w:w="3360"/>
          </w:tcPr>
          <w:p>
            <w:r>
              <w:rPr>
                <w:rFonts w:ascii="Aptos" w:hAnsi="Aptos"/>
                <w:b w:val="0"/>
                <w:color w:val="17202A"/>
                <w:sz w:val="18"/>
              </w:rPr>
              <w:t>How deeply are users engaging?</w:t>
            </w:r>
          </w:p>
        </w:tc>
      </w:tr>
    </w:tbl>
    <w:p>
      <w:pPr>
        <w:pStyle w:val="Heading1"/>
      </w:pPr>
      <w:r>
        <w:t>2. Business Problem</w:t>
      </w:r>
    </w:p>
    <w:p>
      <w:r>
        <w:t>SaaS businesses generate data across acquisition, product usage, subscriptions, and customer lifecycle events. Examining these sources independently makes it difficult to understand where users enter the funnel, how they engage, what drives paid conversion, how recurring revenue changes, and where retention weakens.</w:t>
      </w:r>
    </w:p>
    <w:p>
      <w:pPr>
        <w:pStyle w:val="Heading2"/>
      </w:pPr>
      <w:r>
        <w:t>Business questions addressed</w:t>
      </w:r>
    </w:p>
    <w:p>
      <w:pPr>
        <w:pStyle w:val="ListBullet"/>
      </w:pPr>
      <w:r>
        <w:t>How large and active is the user base?</w:t>
      </w:r>
    </w:p>
    <w:p>
      <w:pPr>
        <w:pStyle w:val="ListBullet"/>
      </w:pPr>
      <w:r>
        <w:t>How many users move from signup to engagement and then to paid subscription?</w:t>
      </w:r>
    </w:p>
    <w:p>
      <w:pPr>
        <w:pStyle w:val="ListBullet"/>
      </w:pPr>
      <w:r>
        <w:t>Which acquisition channels generate users and paid conversions?</w:t>
      </w:r>
    </w:p>
    <w:p>
      <w:pPr>
        <w:pStyle w:val="ListBullet"/>
      </w:pPr>
      <w:r>
        <w:t>How does recurring revenue change month by month?</w:t>
      </w:r>
    </w:p>
    <w:p>
      <w:pPr>
        <w:pStyle w:val="ListBullet"/>
      </w:pPr>
      <w:r>
        <w:t>What is the revenue contribution of each subscription plan?</w:t>
      </w:r>
    </w:p>
    <w:p>
      <w:pPr>
        <w:pStyle w:val="ListBullet"/>
      </w:pPr>
      <w:r>
        <w:t>What is ARPU for paid users?</w:t>
      </w:r>
    </w:p>
    <w:p>
      <w:pPr>
        <w:pStyle w:val="ListBullet"/>
      </w:pPr>
      <w:r>
        <w:t>How much churn is occurring?</w:t>
      </w:r>
    </w:p>
    <w:p>
      <w:pPr>
        <w:pStyle w:val="ListBullet"/>
      </w:pPr>
      <w:r>
        <w:t>How does activity vary across signup cohorts?</w:t>
      </w:r>
    </w:p>
    <w:p>
      <w:pPr>
        <w:pStyle w:val="ListBullet"/>
      </w:pPr>
      <w:r>
        <w:t>How does product engagement relate to retention?</w:t>
      </w:r>
    </w:p>
    <w:p>
      <w:pPr>
        <w:pStyle w:val="Heading2"/>
      </w:pPr>
      <w:r>
        <w:t>Business value</w:t>
      </w:r>
    </w:p>
    <w:p>
      <w:pPr>
        <w:pStyle w:val="ListBullet"/>
      </w:pPr>
      <w:r>
        <w:t>Creates one analytical view of acquisition, engagement, conversion, revenue, and retention.</w:t>
      </w:r>
    </w:p>
    <w:p>
      <w:pPr>
        <w:pStyle w:val="ListBullet"/>
      </w:pPr>
      <w:r>
        <w:t>Turns raw records into explicit business KPIs.</w:t>
      </w:r>
    </w:p>
    <w:p>
      <w:pPr>
        <w:pStyle w:val="ListBullet"/>
      </w:pPr>
      <w:r>
        <w:t>Separates executive monitoring from diagnostic analysis.</w:t>
      </w:r>
    </w:p>
    <w:p>
      <w:pPr>
        <w:pStyle w:val="ListBullet"/>
      </w:pPr>
      <w:r>
        <w:t>Highlights funnel drop-offs and channel-level conversion differences.</w:t>
      </w:r>
    </w:p>
    <w:p>
      <w:pPr>
        <w:pStyle w:val="ListBullet"/>
      </w:pPr>
      <w:r>
        <w:t>Provides cohort visibility into user activity over time.</w:t>
      </w:r>
    </w:p>
    <w:p>
      <w:pPr>
        <w:pStyle w:val="ListBullet"/>
      </w:pPr>
      <w:r>
        <w:t>Creates a reusable structure for future SaaS datasets.</w:t>
      </w:r>
    </w:p>
    <w:p>
      <w:pPr>
        <w:pStyle w:val="Heading1"/>
      </w:pPr>
      <w:r>
        <w:t>3. Dataset &amp; Data Model</w:t>
      </w:r>
    </w:p>
    <w:p>
      <w:r>
        <w:t>The solution is built around three source tables and four analysis-ready tables prepared for Power BI.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202A"/>
          </w:tcPr>
          <w:p>
            <w:r>
              <w:rPr>
                <w:rFonts w:ascii="Aptos" w:hAnsi="Aptos"/>
                <w:b/>
                <w:color w:val="FFFFFF"/>
                <w:sz w:val="18"/>
              </w:rPr>
              <w:t>Table</w:t>
            </w:r>
          </w:p>
        </w:tc>
        <w:tc>
          <w:tcPr>
            <w:tcW w:type="dxa" w:w="2520"/>
            <w:shd w:fill="17202A"/>
          </w:tcPr>
          <w:p>
            <w:r>
              <w:rPr>
                <w:rFonts w:ascii="Aptos" w:hAnsi="Aptos"/>
                <w:b/>
                <w:color w:val="FFFFFF"/>
                <w:sz w:val="18"/>
              </w:rPr>
              <w:t>Grain</w:t>
            </w:r>
          </w:p>
        </w:tc>
        <w:tc>
          <w:tcPr>
            <w:tcW w:type="dxa" w:w="2520"/>
            <w:shd w:fill="17202A"/>
          </w:tcPr>
          <w:p>
            <w:r>
              <w:rPr>
                <w:rFonts w:ascii="Aptos" w:hAnsi="Aptos"/>
                <w:b/>
                <w:color w:val="FFFFFF"/>
                <w:sz w:val="18"/>
              </w:rPr>
              <w:t>Key Fields</w:t>
            </w:r>
          </w:p>
        </w:tc>
        <w:tc>
          <w:tcPr>
            <w:tcW w:type="dxa" w:w="2520"/>
            <w:shd w:fill="17202A"/>
          </w:tcPr>
          <w:p>
            <w:r>
              <w:rPr>
                <w:rFonts w:ascii="Aptos" w:hAnsi="Aptos"/>
                <w:b/>
                <w:color w:val="FFFFFF"/>
                <w:sz w:val="18"/>
              </w:rPr>
              <w:t>Purpose</w:t>
            </w:r>
          </w:p>
        </w:tc>
      </w:tr>
      <w:tr>
        <w:tc>
          <w:tcPr>
            <w:tcW w:type="dxa" w:w="2520"/>
          </w:tcPr>
          <w:p>
            <w:r>
              <w:rPr>
                <w:rFonts w:ascii="Aptos" w:hAnsi="Aptos"/>
                <w:b w:val="0"/>
                <w:color w:val="17202A"/>
                <w:sz w:val="18"/>
              </w:rPr>
              <w:t>users</w:t>
            </w:r>
          </w:p>
        </w:tc>
        <w:tc>
          <w:tcPr>
            <w:tcW w:type="dxa" w:w="2520"/>
          </w:tcPr>
          <w:p>
            <w:r>
              <w:rPr>
                <w:rFonts w:ascii="Aptos" w:hAnsi="Aptos"/>
                <w:b w:val="0"/>
                <w:color w:val="17202A"/>
                <w:sz w:val="18"/>
              </w:rPr>
              <w:t>1 row/user</w:t>
            </w:r>
          </w:p>
        </w:tc>
        <w:tc>
          <w:tcPr>
            <w:tcW w:type="dxa" w:w="2520"/>
          </w:tcPr>
          <w:p>
            <w:r>
              <w:rPr>
                <w:rFonts w:ascii="Aptos" w:hAnsi="Aptos"/>
                <w:b w:val="0"/>
                <w:color w:val="17202A"/>
                <w:sz w:val="18"/>
              </w:rPr>
              <w:t>user_id, signup_date, country, acquisition_channel</w:t>
            </w:r>
          </w:p>
        </w:tc>
        <w:tc>
          <w:tcPr>
            <w:tcW w:type="dxa" w:w="2520"/>
          </w:tcPr>
          <w:p>
            <w:r>
              <w:rPr>
                <w:rFonts w:ascii="Aptos" w:hAnsi="Aptos"/>
                <w:b w:val="0"/>
                <w:color w:val="17202A"/>
                <w:sz w:val="18"/>
              </w:rPr>
              <w:t>User and acquisition analysis</w:t>
            </w:r>
          </w:p>
        </w:tc>
      </w:tr>
      <w:tr>
        <w:tc>
          <w:tcPr>
            <w:tcW w:type="dxa" w:w="2520"/>
          </w:tcPr>
          <w:p>
            <w:r>
              <w:rPr>
                <w:rFonts w:ascii="Aptos" w:hAnsi="Aptos"/>
                <w:b w:val="0"/>
                <w:color w:val="17202A"/>
                <w:sz w:val="18"/>
              </w:rPr>
              <w:t>subscriptions</w:t>
            </w:r>
          </w:p>
        </w:tc>
        <w:tc>
          <w:tcPr>
            <w:tcW w:type="dxa" w:w="2520"/>
          </w:tcPr>
          <w:p>
            <w:r>
              <w:rPr>
                <w:rFonts w:ascii="Aptos" w:hAnsi="Aptos"/>
                <w:b w:val="0"/>
                <w:color w:val="17202A"/>
                <w:sz w:val="18"/>
              </w:rPr>
              <w:t>1 row/subscription</w:t>
            </w:r>
          </w:p>
        </w:tc>
        <w:tc>
          <w:tcPr>
            <w:tcW w:type="dxa" w:w="2520"/>
          </w:tcPr>
          <w:p>
            <w:r>
              <w:rPr>
                <w:rFonts w:ascii="Aptos" w:hAnsi="Aptos"/>
                <w:b w:val="0"/>
                <w:color w:val="17202A"/>
                <w:sz w:val="18"/>
              </w:rPr>
              <w:t>user_id, plan_type, start_date, monthly_price, end_date</w:t>
            </w:r>
          </w:p>
        </w:tc>
        <w:tc>
          <w:tcPr>
            <w:tcW w:type="dxa" w:w="2520"/>
          </w:tcPr>
          <w:p>
            <w:r>
              <w:rPr>
                <w:rFonts w:ascii="Aptos" w:hAnsi="Aptos"/>
                <w:b w:val="0"/>
                <w:color w:val="17202A"/>
                <w:sz w:val="18"/>
              </w:rPr>
              <w:t>Plan, revenue and churn</w:t>
            </w:r>
          </w:p>
        </w:tc>
      </w:tr>
      <w:tr>
        <w:tc>
          <w:tcPr>
            <w:tcW w:type="dxa" w:w="2520"/>
          </w:tcPr>
          <w:p>
            <w:r>
              <w:rPr>
                <w:rFonts w:ascii="Aptos" w:hAnsi="Aptos"/>
                <w:b w:val="0"/>
                <w:color w:val="17202A"/>
                <w:sz w:val="18"/>
              </w:rPr>
              <w:t>events</w:t>
            </w:r>
          </w:p>
        </w:tc>
        <w:tc>
          <w:tcPr>
            <w:tcW w:type="dxa" w:w="2520"/>
          </w:tcPr>
          <w:p>
            <w:r>
              <w:rPr>
                <w:rFonts w:ascii="Aptos" w:hAnsi="Aptos"/>
                <w:b w:val="0"/>
                <w:color w:val="17202A"/>
                <w:sz w:val="18"/>
              </w:rPr>
              <w:t>1 row/event</w:t>
            </w:r>
          </w:p>
        </w:tc>
        <w:tc>
          <w:tcPr>
            <w:tcW w:type="dxa" w:w="2520"/>
          </w:tcPr>
          <w:p>
            <w:r>
              <w:rPr>
                <w:rFonts w:ascii="Aptos" w:hAnsi="Aptos"/>
                <w:b w:val="0"/>
                <w:color w:val="17202A"/>
                <w:sz w:val="18"/>
              </w:rPr>
              <w:t>user_id, event_date, event_type, session_duration</w:t>
            </w:r>
          </w:p>
        </w:tc>
        <w:tc>
          <w:tcPr>
            <w:tcW w:type="dxa" w:w="2520"/>
          </w:tcPr>
          <w:p>
            <w:r>
              <w:rPr>
                <w:rFonts w:ascii="Aptos" w:hAnsi="Aptos"/>
                <w:b w:val="0"/>
                <w:color w:val="17202A"/>
                <w:sz w:val="18"/>
              </w:rPr>
              <w:t>Product engagement</w:t>
            </w:r>
          </w:p>
        </w:tc>
      </w:tr>
      <w:tr>
        <w:tc>
          <w:tcPr>
            <w:tcW w:type="dxa" w:w="2520"/>
          </w:tcPr>
          <w:p>
            <w:r>
              <w:rPr>
                <w:rFonts w:ascii="Aptos" w:hAnsi="Aptos"/>
                <w:b w:val="0"/>
                <w:color w:val="17202A"/>
                <w:sz w:val="18"/>
              </w:rPr>
              <w:t>user_360</w:t>
            </w:r>
          </w:p>
        </w:tc>
        <w:tc>
          <w:tcPr>
            <w:tcW w:type="dxa" w:w="2520"/>
          </w:tcPr>
          <w:p>
            <w:r>
              <w:rPr>
                <w:rFonts w:ascii="Aptos" w:hAnsi="Aptos"/>
                <w:b w:val="0"/>
                <w:color w:val="17202A"/>
                <w:sz w:val="18"/>
              </w:rPr>
              <w:t>1 row/user</w:t>
            </w:r>
          </w:p>
        </w:tc>
        <w:tc>
          <w:tcPr>
            <w:tcW w:type="dxa" w:w="2520"/>
          </w:tcPr>
          <w:p>
            <w:r>
              <w:rPr>
                <w:rFonts w:ascii="Aptos" w:hAnsi="Aptos"/>
                <w:b w:val="0"/>
                <w:color w:val="17202A"/>
                <w:sz w:val="18"/>
              </w:rPr>
              <w:t>Profile + subscription + event summaries</w:t>
            </w:r>
          </w:p>
        </w:tc>
        <w:tc>
          <w:tcPr>
            <w:tcW w:type="dxa" w:w="2520"/>
          </w:tcPr>
          <w:p>
            <w:r>
              <w:rPr>
                <w:rFonts w:ascii="Aptos" w:hAnsi="Aptos"/>
                <w:b w:val="0"/>
                <w:color w:val="17202A"/>
                <w:sz w:val="18"/>
              </w:rPr>
              <w:t>Unified user layer</w:t>
            </w:r>
          </w:p>
        </w:tc>
      </w:tr>
      <w:tr>
        <w:tc>
          <w:tcPr>
            <w:tcW w:type="dxa" w:w="2520"/>
          </w:tcPr>
          <w:p>
            <w:r>
              <w:rPr>
                <w:rFonts w:ascii="Aptos" w:hAnsi="Aptos"/>
                <w:b w:val="0"/>
                <w:color w:val="17202A"/>
                <w:sz w:val="18"/>
              </w:rPr>
              <w:t>monthly_metrics</w:t>
            </w:r>
          </w:p>
        </w:tc>
        <w:tc>
          <w:tcPr>
            <w:tcW w:type="dxa" w:w="2520"/>
          </w:tcPr>
          <w:p>
            <w:r>
              <w:rPr>
                <w:rFonts w:ascii="Aptos" w:hAnsi="Aptos"/>
                <w:b w:val="0"/>
                <w:color w:val="17202A"/>
                <w:sz w:val="18"/>
              </w:rPr>
              <w:t>1 row/month</w:t>
            </w:r>
          </w:p>
        </w:tc>
        <w:tc>
          <w:tcPr>
            <w:tcW w:type="dxa" w:w="2520"/>
          </w:tcPr>
          <w:p>
            <w:r>
              <w:rPr>
                <w:rFonts w:ascii="Aptos" w:hAnsi="Aptos"/>
                <w:b w:val="0"/>
                <w:color w:val="17202A"/>
                <w:sz w:val="18"/>
              </w:rPr>
              <w:t>MAU, MRR, ARPU, churn, signups</w:t>
            </w:r>
          </w:p>
        </w:tc>
        <w:tc>
          <w:tcPr>
            <w:tcW w:type="dxa" w:w="2520"/>
          </w:tcPr>
          <w:p>
            <w:r>
              <w:rPr>
                <w:rFonts w:ascii="Aptos" w:hAnsi="Aptos"/>
                <w:b w:val="0"/>
                <w:color w:val="17202A"/>
                <w:sz w:val="18"/>
              </w:rPr>
              <w:t>Monthly KPI layer</w:t>
            </w:r>
          </w:p>
        </w:tc>
      </w:tr>
      <w:tr>
        <w:tc>
          <w:tcPr>
            <w:tcW w:type="dxa" w:w="2520"/>
          </w:tcPr>
          <w:p>
            <w:r>
              <w:rPr>
                <w:rFonts w:ascii="Aptos" w:hAnsi="Aptos"/>
                <w:b w:val="0"/>
                <w:color w:val="17202A"/>
                <w:sz w:val="18"/>
              </w:rPr>
              <w:t>funnel_metrics</w:t>
            </w:r>
          </w:p>
        </w:tc>
        <w:tc>
          <w:tcPr>
            <w:tcW w:type="dxa" w:w="2520"/>
          </w:tcPr>
          <w:p>
            <w:r>
              <w:rPr>
                <w:rFonts w:ascii="Aptos" w:hAnsi="Aptos"/>
                <w:b w:val="0"/>
                <w:color w:val="17202A"/>
                <w:sz w:val="18"/>
              </w:rPr>
              <w:t>1 row/stage</w:t>
            </w:r>
          </w:p>
        </w:tc>
        <w:tc>
          <w:tcPr>
            <w:tcW w:type="dxa" w:w="2520"/>
          </w:tcPr>
          <w:p>
            <w:r>
              <w:rPr>
                <w:rFonts w:ascii="Aptos" w:hAnsi="Aptos"/>
                <w:b w:val="0"/>
                <w:color w:val="17202A"/>
                <w:sz w:val="18"/>
              </w:rPr>
              <w:t>Users, conversion, drop-off</w:t>
            </w:r>
          </w:p>
        </w:tc>
        <w:tc>
          <w:tcPr>
            <w:tcW w:type="dxa" w:w="2520"/>
          </w:tcPr>
          <w:p>
            <w:r>
              <w:rPr>
                <w:rFonts w:ascii="Aptos" w:hAnsi="Aptos"/>
                <w:b w:val="0"/>
                <w:color w:val="17202A"/>
                <w:sz w:val="18"/>
              </w:rPr>
              <w:t>Funnel analysis</w:t>
            </w:r>
          </w:p>
        </w:tc>
      </w:tr>
      <w:tr>
        <w:tc>
          <w:tcPr>
            <w:tcW w:type="dxa" w:w="2520"/>
          </w:tcPr>
          <w:p>
            <w:r>
              <w:rPr>
                <w:rFonts w:ascii="Aptos" w:hAnsi="Aptos"/>
                <w:b w:val="0"/>
                <w:color w:val="17202A"/>
                <w:sz w:val="18"/>
              </w:rPr>
              <w:t>cohort_retention</w:t>
            </w:r>
          </w:p>
        </w:tc>
        <w:tc>
          <w:tcPr>
            <w:tcW w:type="dxa" w:w="2520"/>
          </w:tcPr>
          <w:p>
            <w:r>
              <w:rPr>
                <w:rFonts w:ascii="Aptos" w:hAnsi="Aptos"/>
                <w:b w:val="0"/>
                <w:color w:val="17202A"/>
                <w:sz w:val="18"/>
              </w:rPr>
              <w:t>1 row/cohort-month</w:t>
            </w:r>
          </w:p>
        </w:tc>
        <w:tc>
          <w:tcPr>
            <w:tcW w:type="dxa" w:w="2520"/>
          </w:tcPr>
          <w:p>
            <w:r>
              <w:rPr>
                <w:rFonts w:ascii="Aptos" w:hAnsi="Aptos"/>
                <w:b w:val="0"/>
                <w:color w:val="17202A"/>
                <w:sz w:val="18"/>
              </w:rPr>
              <w:t>Signup month, cohort index, retention</w:t>
            </w:r>
          </w:p>
        </w:tc>
        <w:tc>
          <w:tcPr>
            <w:tcW w:type="dxa" w:w="2520"/>
          </w:tcPr>
          <w:p>
            <w:r>
              <w:rPr>
                <w:rFonts w:ascii="Aptos" w:hAnsi="Aptos"/>
                <w:b w:val="0"/>
                <w:color w:val="17202A"/>
                <w:sz w:val="18"/>
              </w:rPr>
              <w:t>Cohort heatmap</w:t>
            </w:r>
          </w:p>
        </w:tc>
      </w:tr>
    </w:tbl>
    <w:p>
      <w:pPr>
        <w:pStyle w:val="ListBullet"/>
      </w:pPr>
      <w:r>
        <w:t>2,000 users</w:t>
      </w:r>
    </w:p>
    <w:p>
      <w:pPr>
        <w:pStyle w:val="ListBullet"/>
      </w:pPr>
      <w:r>
        <w:t>2,000 subscriptions</w:t>
      </w:r>
    </w:p>
    <w:p>
      <w:pPr>
        <w:pStyle w:val="ListBullet"/>
      </w:pPr>
      <w:r>
        <w:t>33,987 events</w:t>
      </w:r>
    </w:p>
    <w:p>
      <w:pPr>
        <w:pStyle w:val="ListBullet"/>
      </w:pPr>
      <w:r>
        <w:t>Plans: Free, Basic, Pro</w:t>
      </w:r>
    </w:p>
    <w:p>
      <w:pPr>
        <w:pStyle w:val="ListBullet"/>
      </w:pPr>
      <w:r>
        <w:t>Monthly prices: Free ₹0, Basic ₹2,000, Pro ₹5,000</w:t>
      </w:r>
    </w:p>
    <w:p>
      <w:pPr>
        <w:pStyle w:val="Heading1"/>
      </w:pPr>
      <w:r>
        <w:t>4. Analytical Methodology</w:t>
      </w:r>
    </w:p>
    <w:p>
      <w:r>
        <w:t>The workflow was designed as an end-to-end analytics pipeline: source understanding → data preparation → KPI engineering → Power BI modeling → visualization → QA.</w:t>
      </w:r>
    </w:p>
    <w:p>
      <w:pPr>
        <w:pStyle w:val="ListNumber"/>
      </w:pPr>
      <w:r>
        <w:t>Profile the users, subscriptions, and events datasets.</w:t>
      </w:r>
    </w:p>
    <w:p>
      <w:pPr>
        <w:pStyle w:val="ListNumber"/>
      </w:pPr>
      <w:r>
        <w:t>Create user-level summaries for activity, sessions, event types, subscription status, and plan.</w:t>
      </w:r>
    </w:p>
    <w:p>
      <w:pPr>
        <w:pStyle w:val="ListNumber"/>
      </w:pPr>
      <w:r>
        <w:t>Build monthly metrics for MAU, MRR, subscribers, paid users, ARPU, churn, session behavior, and signups.</w:t>
      </w:r>
    </w:p>
    <w:p>
      <w:pPr>
        <w:pStyle w:val="ListNumber"/>
      </w:pPr>
      <w:r>
        <w:t>Build Signups → Engaged → Paid funnel metrics.</w:t>
      </w:r>
    </w:p>
    <w:p>
      <w:pPr>
        <w:pStyle w:val="ListNumber"/>
      </w:pPr>
      <w:r>
        <w:t>Build signup-cohort monthly activity retention.</w:t>
      </w:r>
    </w:p>
    <w:p>
      <w:pPr>
        <w:pStyle w:val="ListNumber"/>
      </w:pPr>
      <w:r>
        <w:t>Load analysis-ready datasets into Power BI.</w:t>
      </w:r>
    </w:p>
    <w:p>
      <w:pPr>
        <w:pStyle w:val="ListNumber"/>
      </w:pPr>
      <w:r>
        <w:t>Create intentional relationships, DateTable, and DAX measures.</w:t>
      </w:r>
    </w:p>
    <w:p>
      <w:pPr>
        <w:pStyle w:val="ListNumber"/>
      </w:pPr>
      <w:r>
        <w:t>Build four business-focused dashboard pages.</w:t>
      </w:r>
    </w:p>
    <w:p>
      <w:pPr>
        <w:pStyle w:val="ListNumber"/>
      </w:pPr>
      <w:r>
        <w:t>Validate calculations, filters, formatting, labels, and visual consistency.</w:t>
      </w:r>
    </w:p>
    <w:p>
      <w:pPr>
        <w:pStyle w:val="Heading2"/>
      </w:pPr>
      <w:r>
        <w:t>Metric definitions</w:t>
      </w:r>
    </w:p>
    <w:tbl>
      <w:tblPr>
        <w:tblStyle w:val="TableGrid"/>
        <w:tblW w:type="auto" w:w="0"/>
        <w:jc w:val="center"/>
        <w:tblLook w:firstColumn="1" w:firstRow="1" w:lastColumn="0" w:lastRow="0" w:noHBand="0" w:noVBand="1" w:val="04A0"/>
      </w:tblPr>
      <w:tblGrid>
        <w:gridCol w:w="5040"/>
        <w:gridCol w:w="5040"/>
      </w:tblGrid>
      <w:tr>
        <w:tc>
          <w:tcPr>
            <w:tcW w:type="dxa" w:w="5040"/>
            <w:shd w:fill="17202A"/>
          </w:tcPr>
          <w:p>
            <w:r>
              <w:rPr>
                <w:rFonts w:ascii="Aptos" w:hAnsi="Aptos"/>
                <w:b/>
                <w:color w:val="FFFFFF"/>
                <w:sz w:val="18"/>
              </w:rPr>
              <w:t>Metric</w:t>
            </w:r>
          </w:p>
        </w:tc>
        <w:tc>
          <w:tcPr>
            <w:tcW w:type="dxa" w:w="5040"/>
            <w:shd w:fill="17202A"/>
          </w:tcPr>
          <w:p>
            <w:r>
              <w:rPr>
                <w:rFonts w:ascii="Aptos" w:hAnsi="Aptos"/>
                <w:b/>
                <w:color w:val="FFFFFF"/>
                <w:sz w:val="18"/>
              </w:rPr>
              <w:t>Definition</w:t>
            </w:r>
          </w:p>
        </w:tc>
      </w:tr>
      <w:tr>
        <w:tc>
          <w:tcPr>
            <w:tcW w:type="dxa" w:w="5040"/>
          </w:tcPr>
          <w:p>
            <w:r>
              <w:rPr>
                <w:rFonts w:ascii="Aptos" w:hAnsi="Aptos"/>
                <w:b w:val="0"/>
                <w:color w:val="17202A"/>
                <w:sz w:val="18"/>
              </w:rPr>
              <w:t>MAU</w:t>
            </w:r>
          </w:p>
        </w:tc>
        <w:tc>
          <w:tcPr>
            <w:tcW w:type="dxa" w:w="5040"/>
          </w:tcPr>
          <w:p>
            <w:r>
              <w:rPr>
                <w:rFonts w:ascii="Aptos" w:hAnsi="Aptos"/>
                <w:b w:val="0"/>
                <w:color w:val="17202A"/>
                <w:sz w:val="18"/>
              </w:rPr>
              <w:t>Distinct users appearing in events within the relevant time context.</w:t>
            </w:r>
          </w:p>
        </w:tc>
      </w:tr>
      <w:tr>
        <w:tc>
          <w:tcPr>
            <w:tcW w:type="dxa" w:w="5040"/>
          </w:tcPr>
          <w:p>
            <w:r>
              <w:rPr>
                <w:rFonts w:ascii="Aptos" w:hAnsi="Aptos"/>
                <w:b w:val="0"/>
                <w:color w:val="17202A"/>
                <w:sz w:val="18"/>
              </w:rPr>
              <w:t>MRR</w:t>
            </w:r>
          </w:p>
        </w:tc>
        <w:tc>
          <w:tcPr>
            <w:tcW w:type="dxa" w:w="5040"/>
          </w:tcPr>
          <w:p>
            <w:r>
              <w:rPr>
                <w:rFonts w:ascii="Aptos" w:hAnsi="Aptos"/>
                <w:b w:val="0"/>
                <w:color w:val="17202A"/>
                <w:sz w:val="18"/>
              </w:rPr>
              <w:t>Recurring revenue from subscriptions active in the relevant month; headline card uses the latest monthly snapshot.</w:t>
            </w:r>
          </w:p>
        </w:tc>
      </w:tr>
      <w:tr>
        <w:tc>
          <w:tcPr>
            <w:tcW w:type="dxa" w:w="5040"/>
          </w:tcPr>
          <w:p>
            <w:r>
              <w:rPr>
                <w:rFonts w:ascii="Aptos" w:hAnsi="Aptos"/>
                <w:b w:val="0"/>
                <w:color w:val="17202A"/>
                <w:sz w:val="18"/>
              </w:rPr>
              <w:t>ARPU</w:t>
            </w:r>
          </w:p>
        </w:tc>
        <w:tc>
          <w:tcPr>
            <w:tcW w:type="dxa" w:w="5040"/>
          </w:tcPr>
          <w:p>
            <w:r>
              <w:rPr>
                <w:rFonts w:ascii="Aptos" w:hAnsi="Aptos"/>
                <w:b w:val="0"/>
                <w:color w:val="17202A"/>
                <w:sz w:val="18"/>
              </w:rPr>
              <w:t>MRR divided by paid users for the relevant monthly snapshot.</w:t>
            </w:r>
          </w:p>
        </w:tc>
      </w:tr>
      <w:tr>
        <w:tc>
          <w:tcPr>
            <w:tcW w:type="dxa" w:w="5040"/>
          </w:tcPr>
          <w:p>
            <w:r>
              <w:rPr>
                <w:rFonts w:ascii="Aptos" w:hAnsi="Aptos"/>
                <w:b w:val="0"/>
                <w:color w:val="17202A"/>
                <w:sz w:val="18"/>
              </w:rPr>
              <w:t>Paid Users</w:t>
            </w:r>
          </w:p>
        </w:tc>
        <w:tc>
          <w:tcPr>
            <w:tcW w:type="dxa" w:w="5040"/>
          </w:tcPr>
          <w:p>
            <w:r>
              <w:rPr>
                <w:rFonts w:ascii="Aptos" w:hAnsi="Aptos"/>
                <w:b w:val="0"/>
                <w:color w:val="17202A"/>
                <w:sz w:val="18"/>
              </w:rPr>
              <w:t>Distinct users with monthly_price &gt; 0.</w:t>
            </w:r>
          </w:p>
        </w:tc>
      </w:tr>
      <w:tr>
        <w:tc>
          <w:tcPr>
            <w:tcW w:type="dxa" w:w="5040"/>
          </w:tcPr>
          <w:p>
            <w:r>
              <w:rPr>
                <w:rFonts w:ascii="Aptos" w:hAnsi="Aptos"/>
                <w:b w:val="0"/>
                <w:color w:val="17202A"/>
                <w:sz w:val="18"/>
              </w:rPr>
              <w:t>Active Subscribers</w:t>
            </w:r>
          </w:p>
        </w:tc>
        <w:tc>
          <w:tcPr>
            <w:tcW w:type="dxa" w:w="5040"/>
          </w:tcPr>
          <w:p>
            <w:r>
              <w:rPr>
                <w:rFonts w:ascii="Aptos" w:hAnsi="Aptos"/>
                <w:b w:val="0"/>
                <w:color w:val="17202A"/>
                <w:sz w:val="18"/>
              </w:rPr>
              <w:t>Latest monthly active-subscriber snapshot.</w:t>
            </w:r>
          </w:p>
        </w:tc>
      </w:tr>
      <w:tr>
        <w:tc>
          <w:tcPr>
            <w:tcW w:type="dxa" w:w="5040"/>
          </w:tcPr>
          <w:p>
            <w:r>
              <w:rPr>
                <w:rFonts w:ascii="Aptos" w:hAnsi="Aptos"/>
                <w:b w:val="0"/>
                <w:color w:val="17202A"/>
                <w:sz w:val="18"/>
              </w:rPr>
              <w:t>Churn Rate</w:t>
            </w:r>
          </w:p>
        </w:tc>
        <w:tc>
          <w:tcPr>
            <w:tcW w:type="dxa" w:w="5040"/>
          </w:tcPr>
          <w:p>
            <w:r>
              <w:rPr>
                <w:rFonts w:ascii="Aptos" w:hAnsi="Aptos"/>
                <w:b w:val="0"/>
                <w:color w:val="17202A"/>
                <w:sz w:val="18"/>
              </w:rPr>
              <w:t>Overall churned users divided by total users for the headline KPI; monthly trend comes from monthly_metrics.</w:t>
            </w:r>
          </w:p>
        </w:tc>
      </w:tr>
      <w:tr>
        <w:tc>
          <w:tcPr>
            <w:tcW w:type="dxa" w:w="5040"/>
          </w:tcPr>
          <w:p>
            <w:r>
              <w:rPr>
                <w:rFonts w:ascii="Aptos" w:hAnsi="Aptos"/>
                <w:b w:val="0"/>
                <w:color w:val="17202A"/>
                <w:sz w:val="18"/>
              </w:rPr>
              <w:t>Paid Conversion</w:t>
            </w:r>
          </w:p>
        </w:tc>
        <w:tc>
          <w:tcPr>
            <w:tcW w:type="dxa" w:w="5040"/>
          </w:tcPr>
          <w:p>
            <w:r>
              <w:rPr>
                <w:rFonts w:ascii="Aptos" w:hAnsi="Aptos"/>
                <w:b w:val="0"/>
                <w:color w:val="17202A"/>
                <w:sz w:val="18"/>
              </w:rPr>
              <w:t>Paid users divided by total users.</w:t>
            </w:r>
          </w:p>
        </w:tc>
      </w:tr>
      <w:tr>
        <w:tc>
          <w:tcPr>
            <w:tcW w:type="dxa" w:w="5040"/>
          </w:tcPr>
          <w:p>
            <w:r>
              <w:rPr>
                <w:rFonts w:ascii="Aptos" w:hAnsi="Aptos"/>
                <w:b w:val="0"/>
                <w:color w:val="17202A"/>
                <w:sz w:val="18"/>
              </w:rPr>
              <w:t>Avg Session Duration</w:t>
            </w:r>
          </w:p>
        </w:tc>
        <w:tc>
          <w:tcPr>
            <w:tcW w:type="dxa" w:w="5040"/>
          </w:tcPr>
          <w:p>
            <w:r>
              <w:rPr>
                <w:rFonts w:ascii="Aptos" w:hAnsi="Aptos"/>
                <w:b w:val="0"/>
                <w:color w:val="17202A"/>
                <w:sz w:val="18"/>
              </w:rPr>
              <w:t>Average session_duration across event records.</w:t>
            </w:r>
          </w:p>
        </w:tc>
      </w:tr>
    </w:tbl>
    <w:p>
      <w:pPr>
        <w:pStyle w:val="Heading1"/>
      </w:pPr>
      <w:r>
        <w:t>5. Power BI Data Model</w:t>
      </w:r>
    </w:p>
    <w:p>
      <w:pPr>
        <w:pStyle w:val="ListBullet"/>
      </w:pPr>
      <w:r>
        <w:t>user_360[user_id] → subscriptions[user_id]: 1-to-many, single direction, active.</w:t>
      </w:r>
    </w:p>
    <w:p>
      <w:pPr>
        <w:pStyle w:val="ListBullet"/>
      </w:pPr>
      <w:r>
        <w:t>user_360[user_id] → events[user_id]: 1-to-many, single direction, active.</w:t>
      </w:r>
    </w:p>
    <w:p>
      <w:pPr>
        <w:pStyle w:val="ListBullet"/>
      </w:pPr>
      <w:r>
        <w:t>DateTable[Date] → events[event_date]: 1-to-many, single direction, active.</w:t>
      </w:r>
    </w:p>
    <w:p>
      <w:pPr>
        <w:pStyle w:val="ListBullet"/>
      </w:pPr>
      <w:r>
        <w:t>users remains disconnected in the final model; channel-level user analysis uses user_360 where shared user-level filtering is needed.</w:t>
      </w:r>
    </w:p>
    <w:p>
      <w:pPr>
        <w:pStyle w:val="ListBullet"/>
      </w:pPr>
      <w:r>
        <w:t>DateTable is marked as the model date table.</w:t>
      </w:r>
    </w:p>
    <w:p>
      <w:pPr>
        <w:pStyle w:val="ListBullet"/>
      </w:pPr>
      <w:r>
        <w:t>monthly_metrics, funnel_metrics, and cohort_retention provide analysis-ready metric layers.</w:t>
      </w:r>
    </w:p>
    <w:p>
      <w:r>
        <w:t>The model deliberately avoids unnecessary relationships so that filter propagation remains predictable instead of connecting every table simply because a common key exists.</w:t>
      </w:r>
    </w:p>
    <w:p>
      <w:pPr>
        <w:pStyle w:val="Heading1"/>
      </w:pPr>
      <w:r>
        <w:t>6. Key DAX Measures</w:t>
      </w:r>
    </w:p>
    <w:tbl>
      <w:tblPr>
        <w:tblStyle w:val="TableGrid"/>
        <w:tblW w:type="auto" w:w="0"/>
        <w:jc w:val="center"/>
        <w:tblLook w:firstColumn="1" w:firstRow="1" w:lastColumn="0" w:lastRow="0" w:noHBand="0" w:noVBand="1" w:val="04A0"/>
      </w:tblPr>
      <w:tblGrid>
        <w:gridCol w:w="5040"/>
        <w:gridCol w:w="5040"/>
      </w:tblGrid>
      <w:tr>
        <w:tc>
          <w:tcPr>
            <w:tcW w:type="dxa" w:w="5040"/>
            <w:shd w:fill="17202A"/>
          </w:tcPr>
          <w:p>
            <w:r>
              <w:rPr>
                <w:rFonts w:ascii="Aptos" w:hAnsi="Aptos"/>
                <w:b/>
                <w:color w:val="FFFFFF"/>
                <w:sz w:val="18"/>
              </w:rPr>
              <w:t>Measure</w:t>
            </w:r>
          </w:p>
        </w:tc>
        <w:tc>
          <w:tcPr>
            <w:tcW w:type="dxa" w:w="5040"/>
            <w:shd w:fill="17202A"/>
          </w:tcPr>
          <w:p>
            <w:r>
              <w:rPr>
                <w:rFonts w:ascii="Aptos" w:hAnsi="Aptos"/>
                <w:b/>
                <w:color w:val="FFFFFF"/>
                <w:sz w:val="18"/>
              </w:rPr>
              <w:t>Logic</w:t>
            </w:r>
          </w:p>
        </w:tc>
      </w:tr>
      <w:tr>
        <w:tc>
          <w:tcPr>
            <w:tcW w:type="dxa" w:w="5040"/>
          </w:tcPr>
          <w:p>
            <w:r>
              <w:rPr>
                <w:rFonts w:ascii="Aptos" w:hAnsi="Aptos"/>
                <w:b w:val="0"/>
                <w:color w:val="17202A"/>
                <w:sz w:val="18"/>
              </w:rPr>
              <w:t>Total Users</w:t>
            </w:r>
          </w:p>
        </w:tc>
        <w:tc>
          <w:tcPr>
            <w:tcW w:type="dxa" w:w="5040"/>
          </w:tcPr>
          <w:p>
            <w:r>
              <w:rPr>
                <w:rFonts w:ascii="Aptos" w:hAnsi="Aptos"/>
                <w:b w:val="0"/>
                <w:color w:val="17202A"/>
                <w:sz w:val="18"/>
              </w:rPr>
              <w:t>DISTINCTCOUNT(user_360[user_id])</w:t>
            </w:r>
          </w:p>
        </w:tc>
      </w:tr>
      <w:tr>
        <w:tc>
          <w:tcPr>
            <w:tcW w:type="dxa" w:w="5040"/>
          </w:tcPr>
          <w:p>
            <w:r>
              <w:rPr>
                <w:rFonts w:ascii="Aptos" w:hAnsi="Aptos"/>
                <w:b w:val="0"/>
                <w:color w:val="17202A"/>
                <w:sz w:val="18"/>
              </w:rPr>
              <w:t>MAU</w:t>
            </w:r>
          </w:p>
        </w:tc>
        <w:tc>
          <w:tcPr>
            <w:tcW w:type="dxa" w:w="5040"/>
          </w:tcPr>
          <w:p>
            <w:r>
              <w:rPr>
                <w:rFonts w:ascii="Aptos" w:hAnsi="Aptos"/>
                <w:b w:val="0"/>
                <w:color w:val="17202A"/>
                <w:sz w:val="18"/>
              </w:rPr>
              <w:t>DISTINCTCOUNT(events[user_id])</w:t>
            </w:r>
          </w:p>
        </w:tc>
      </w:tr>
      <w:tr>
        <w:tc>
          <w:tcPr>
            <w:tcW w:type="dxa" w:w="5040"/>
          </w:tcPr>
          <w:p>
            <w:r>
              <w:rPr>
                <w:rFonts w:ascii="Aptos" w:hAnsi="Aptos"/>
                <w:b w:val="0"/>
                <w:color w:val="17202A"/>
                <w:sz w:val="18"/>
              </w:rPr>
              <w:t>Paid Users</w:t>
            </w:r>
          </w:p>
        </w:tc>
        <w:tc>
          <w:tcPr>
            <w:tcW w:type="dxa" w:w="5040"/>
          </w:tcPr>
          <w:p>
            <w:r>
              <w:rPr>
                <w:rFonts w:ascii="Aptos" w:hAnsi="Aptos"/>
                <w:b w:val="0"/>
                <w:color w:val="17202A"/>
                <w:sz w:val="18"/>
              </w:rPr>
              <w:t>CALCULATE(DISTINCTCOUNT(subscriptions[user_id]), subscriptions[monthly_price] &gt; 0)</w:t>
            </w:r>
          </w:p>
        </w:tc>
      </w:tr>
      <w:tr>
        <w:tc>
          <w:tcPr>
            <w:tcW w:type="dxa" w:w="5040"/>
          </w:tcPr>
          <w:p>
            <w:r>
              <w:rPr>
                <w:rFonts w:ascii="Aptos" w:hAnsi="Aptos"/>
                <w:b w:val="0"/>
                <w:color w:val="17202A"/>
                <w:sz w:val="18"/>
              </w:rPr>
              <w:t>Paid Conversion Rate</w:t>
            </w:r>
          </w:p>
        </w:tc>
        <w:tc>
          <w:tcPr>
            <w:tcW w:type="dxa" w:w="5040"/>
          </w:tcPr>
          <w:p>
            <w:r>
              <w:rPr>
                <w:rFonts w:ascii="Aptos" w:hAnsi="Aptos"/>
                <w:b w:val="0"/>
                <w:color w:val="17202A"/>
                <w:sz w:val="18"/>
              </w:rPr>
              <w:t>DIVIDE([Paid Users], [Total Users])</w:t>
            </w:r>
          </w:p>
        </w:tc>
      </w:tr>
      <w:tr>
        <w:tc>
          <w:tcPr>
            <w:tcW w:type="dxa" w:w="5040"/>
          </w:tcPr>
          <w:p>
            <w:r>
              <w:rPr>
                <w:rFonts w:ascii="Aptos" w:hAnsi="Aptos"/>
                <w:b w:val="0"/>
                <w:color w:val="17202A"/>
                <w:sz w:val="18"/>
              </w:rPr>
              <w:t>Paid Users by Channel</w:t>
            </w:r>
          </w:p>
        </w:tc>
        <w:tc>
          <w:tcPr>
            <w:tcW w:type="dxa" w:w="5040"/>
          </w:tcPr>
          <w:p>
            <w:r>
              <w:rPr>
                <w:rFonts w:ascii="Aptos" w:hAnsi="Aptos"/>
                <w:b w:val="0"/>
                <w:color w:val="17202A"/>
                <w:sz w:val="18"/>
              </w:rPr>
              <w:t>CALCULATE(DISTINCTCOUNT(user_360[user_id]), user_360[monthly_price] &gt; 0)</w:t>
            </w:r>
          </w:p>
        </w:tc>
      </w:tr>
      <w:tr>
        <w:tc>
          <w:tcPr>
            <w:tcW w:type="dxa" w:w="5040"/>
          </w:tcPr>
          <w:p>
            <w:r>
              <w:rPr>
                <w:rFonts w:ascii="Aptos" w:hAnsi="Aptos"/>
                <w:b w:val="0"/>
                <w:color w:val="17202A"/>
                <w:sz w:val="18"/>
              </w:rPr>
              <w:t>Channel Paid Conversion Rate</w:t>
            </w:r>
          </w:p>
        </w:tc>
        <w:tc>
          <w:tcPr>
            <w:tcW w:type="dxa" w:w="5040"/>
          </w:tcPr>
          <w:p>
            <w:r>
              <w:rPr>
                <w:rFonts w:ascii="Aptos" w:hAnsi="Aptos"/>
                <w:b w:val="0"/>
                <w:color w:val="17202A"/>
                <w:sz w:val="18"/>
              </w:rPr>
              <w:t>DIVIDE([Paid Users by Channel], DISTINCTCOUNT(user_360[user_id]))</w:t>
            </w:r>
          </w:p>
        </w:tc>
      </w:tr>
      <w:tr>
        <w:tc>
          <w:tcPr>
            <w:tcW w:type="dxa" w:w="5040"/>
          </w:tcPr>
          <w:p>
            <w:r>
              <w:rPr>
                <w:rFonts w:ascii="Aptos" w:hAnsi="Aptos"/>
                <w:b w:val="0"/>
                <w:color w:val="17202A"/>
                <w:sz w:val="18"/>
              </w:rPr>
              <w:t>Total Events</w:t>
            </w:r>
          </w:p>
        </w:tc>
        <w:tc>
          <w:tcPr>
            <w:tcW w:type="dxa" w:w="5040"/>
          </w:tcPr>
          <w:p>
            <w:r>
              <w:rPr>
                <w:rFonts w:ascii="Aptos" w:hAnsi="Aptos"/>
                <w:b w:val="0"/>
                <w:color w:val="17202A"/>
                <w:sz w:val="18"/>
              </w:rPr>
              <w:t>COUNTROWS(events)</w:t>
            </w:r>
          </w:p>
        </w:tc>
      </w:tr>
      <w:tr>
        <w:tc>
          <w:tcPr>
            <w:tcW w:type="dxa" w:w="5040"/>
          </w:tcPr>
          <w:p>
            <w:r>
              <w:rPr>
                <w:rFonts w:ascii="Aptos" w:hAnsi="Aptos"/>
                <w:b w:val="0"/>
                <w:color w:val="17202A"/>
                <w:sz w:val="18"/>
              </w:rPr>
              <w:t>Avg Session Duration</w:t>
            </w:r>
          </w:p>
        </w:tc>
        <w:tc>
          <w:tcPr>
            <w:tcW w:type="dxa" w:w="5040"/>
          </w:tcPr>
          <w:p>
            <w:r>
              <w:rPr>
                <w:rFonts w:ascii="Aptos" w:hAnsi="Aptos"/>
                <w:b w:val="0"/>
                <w:color w:val="17202A"/>
                <w:sz w:val="18"/>
              </w:rPr>
              <w:t>AVERAGE(events[session_duration])</w:t>
            </w:r>
          </w:p>
        </w:tc>
      </w:tr>
      <w:tr>
        <w:tc>
          <w:tcPr>
            <w:tcW w:type="dxa" w:w="5040"/>
          </w:tcPr>
          <w:p>
            <w:r>
              <w:rPr>
                <w:rFonts w:ascii="Aptos" w:hAnsi="Aptos"/>
                <w:b w:val="0"/>
                <w:color w:val="17202A"/>
                <w:sz w:val="18"/>
              </w:rPr>
              <w:t>MRR</w:t>
            </w:r>
          </w:p>
        </w:tc>
        <w:tc>
          <w:tcPr>
            <w:tcW w:type="dxa" w:w="5040"/>
          </w:tcPr>
          <w:p>
            <w:r>
              <w:rPr>
                <w:rFonts w:ascii="Aptos" w:hAnsi="Aptos"/>
                <w:b w:val="0"/>
                <w:color w:val="17202A"/>
                <w:sz w:val="18"/>
              </w:rPr>
              <w:t>Latest month value from monthly_metrics[MRR]</w:t>
            </w:r>
          </w:p>
        </w:tc>
      </w:tr>
      <w:tr>
        <w:tc>
          <w:tcPr>
            <w:tcW w:type="dxa" w:w="5040"/>
          </w:tcPr>
          <w:p>
            <w:r>
              <w:rPr>
                <w:rFonts w:ascii="Aptos" w:hAnsi="Aptos"/>
                <w:b w:val="0"/>
                <w:color w:val="17202A"/>
                <w:sz w:val="18"/>
              </w:rPr>
              <w:t>ARPU</w:t>
            </w:r>
          </w:p>
        </w:tc>
        <w:tc>
          <w:tcPr>
            <w:tcW w:type="dxa" w:w="5040"/>
          </w:tcPr>
          <w:p>
            <w:r>
              <w:rPr>
                <w:rFonts w:ascii="Aptos" w:hAnsi="Aptos"/>
                <w:b w:val="0"/>
                <w:color w:val="17202A"/>
                <w:sz w:val="18"/>
              </w:rPr>
              <w:t>Latest month value from monthly_metrics[ARPU]</w:t>
            </w:r>
          </w:p>
        </w:tc>
      </w:tr>
      <w:tr>
        <w:tc>
          <w:tcPr>
            <w:tcW w:type="dxa" w:w="5040"/>
          </w:tcPr>
          <w:p>
            <w:r>
              <w:rPr>
                <w:rFonts w:ascii="Aptos" w:hAnsi="Aptos"/>
                <w:b w:val="0"/>
                <w:color w:val="17202A"/>
                <w:sz w:val="18"/>
              </w:rPr>
              <w:t>Active Subscribers</w:t>
            </w:r>
          </w:p>
        </w:tc>
        <w:tc>
          <w:tcPr>
            <w:tcW w:type="dxa" w:w="5040"/>
          </w:tcPr>
          <w:p>
            <w:r>
              <w:rPr>
                <w:rFonts w:ascii="Aptos" w:hAnsi="Aptos"/>
                <w:b w:val="0"/>
                <w:color w:val="17202A"/>
                <w:sz w:val="18"/>
              </w:rPr>
              <w:t>Latest month value from monthly_metrics[active_subscribers]</w:t>
            </w:r>
          </w:p>
        </w:tc>
      </w:tr>
      <w:tr>
        <w:tc>
          <w:tcPr>
            <w:tcW w:type="dxa" w:w="5040"/>
          </w:tcPr>
          <w:p>
            <w:r>
              <w:rPr>
                <w:rFonts w:ascii="Aptos" w:hAnsi="Aptos"/>
                <w:b w:val="0"/>
                <w:color w:val="17202A"/>
                <w:sz w:val="18"/>
              </w:rPr>
              <w:t>Churn Rate</w:t>
            </w:r>
          </w:p>
        </w:tc>
        <w:tc>
          <w:tcPr>
            <w:tcW w:type="dxa" w:w="5040"/>
          </w:tcPr>
          <w:p>
            <w:r>
              <w:rPr>
                <w:rFonts w:ascii="Aptos" w:hAnsi="Aptos"/>
                <w:b w:val="0"/>
                <w:color w:val="17202A"/>
                <w:sz w:val="18"/>
              </w:rPr>
              <w:t>Churned distinct users / total distinct users</w:t>
            </w:r>
          </w:p>
        </w:tc>
      </w:tr>
    </w:tbl>
    <w:p>
      <w:pPr>
        <w:pStyle w:val="Heading1"/>
      </w:pPr>
      <w:r>
        <w:t>7. Dashboard Architecture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202A"/>
          </w:tcPr>
          <w:p>
            <w:r>
              <w:rPr>
                <w:rFonts w:ascii="Aptos" w:hAnsi="Aptos"/>
                <w:b/>
                <w:color w:val="FFFFFF"/>
                <w:sz w:val="18"/>
              </w:rPr>
              <w:t>Page</w:t>
            </w:r>
          </w:p>
        </w:tc>
        <w:tc>
          <w:tcPr>
            <w:tcW w:type="dxa" w:w="2520"/>
            <w:shd w:fill="17202A"/>
          </w:tcPr>
          <w:p>
            <w:r>
              <w:rPr>
                <w:rFonts w:ascii="Aptos" w:hAnsi="Aptos"/>
                <w:b/>
                <w:color w:val="FFFFFF"/>
                <w:sz w:val="18"/>
              </w:rPr>
              <w:t>Purpose</w:t>
            </w:r>
          </w:p>
        </w:tc>
        <w:tc>
          <w:tcPr>
            <w:tcW w:type="dxa" w:w="2520"/>
            <w:shd w:fill="17202A"/>
          </w:tcPr>
          <w:p>
            <w:r>
              <w:rPr>
                <w:rFonts w:ascii="Aptos" w:hAnsi="Aptos"/>
                <w:b/>
                <w:color w:val="FFFFFF"/>
                <w:sz w:val="18"/>
              </w:rPr>
              <w:t>KPIs</w:t>
            </w:r>
          </w:p>
        </w:tc>
        <w:tc>
          <w:tcPr>
            <w:tcW w:type="dxa" w:w="2520"/>
            <w:shd w:fill="17202A"/>
          </w:tcPr>
          <w:p>
            <w:r>
              <w:rPr>
                <w:rFonts w:ascii="Aptos" w:hAnsi="Aptos"/>
                <w:b/>
                <w:color w:val="FFFFFF"/>
                <w:sz w:val="18"/>
              </w:rPr>
              <w:t>Core Visuals</w:t>
            </w:r>
          </w:p>
        </w:tc>
      </w:tr>
      <w:tr>
        <w:tc>
          <w:tcPr>
            <w:tcW w:type="dxa" w:w="2520"/>
          </w:tcPr>
          <w:p>
            <w:r>
              <w:rPr>
                <w:rFonts w:ascii="Aptos" w:hAnsi="Aptos"/>
                <w:b w:val="0"/>
                <w:color w:val="17202A"/>
                <w:sz w:val="18"/>
              </w:rPr>
              <w:t>01 — Executive Overview</w:t>
            </w:r>
          </w:p>
        </w:tc>
        <w:tc>
          <w:tcPr>
            <w:tcW w:type="dxa" w:w="2520"/>
          </w:tcPr>
          <w:p>
            <w:r>
              <w:rPr>
                <w:rFonts w:ascii="Aptos" w:hAnsi="Aptos"/>
                <w:b w:val="0"/>
                <w:color w:val="17202A"/>
                <w:sz w:val="18"/>
              </w:rPr>
              <w:t>Executive snapshot</w:t>
            </w:r>
          </w:p>
        </w:tc>
        <w:tc>
          <w:tcPr>
            <w:tcW w:type="dxa" w:w="2520"/>
          </w:tcPr>
          <w:p>
            <w:r>
              <w:rPr>
                <w:rFonts w:ascii="Aptos" w:hAnsi="Aptos"/>
                <w:b w:val="0"/>
                <w:color w:val="17202A"/>
                <w:sz w:val="18"/>
              </w:rPr>
              <w:t>MAU, MRR, ARPU, Churn Rate</w:t>
            </w:r>
          </w:p>
        </w:tc>
        <w:tc>
          <w:tcPr>
            <w:tcW w:type="dxa" w:w="2520"/>
          </w:tcPr>
          <w:p>
            <w:r>
              <w:rPr>
                <w:rFonts w:ascii="Aptos" w:hAnsi="Aptos"/>
                <w:b w:val="0"/>
                <w:color w:val="17202A"/>
                <w:sz w:val="18"/>
              </w:rPr>
              <w:t>Monthly Active Users; Monthly Recurring Revenue; Conversion Funnel; Revenue by Plan</w:t>
            </w:r>
          </w:p>
        </w:tc>
      </w:tr>
      <w:tr>
        <w:tc>
          <w:tcPr>
            <w:tcW w:type="dxa" w:w="2520"/>
          </w:tcPr>
          <w:p>
            <w:r>
              <w:rPr>
                <w:rFonts w:ascii="Aptos" w:hAnsi="Aptos"/>
                <w:b w:val="0"/>
                <w:color w:val="17202A"/>
                <w:sz w:val="18"/>
              </w:rPr>
              <w:t>02 — Growth &amp; Acquisition</w:t>
            </w:r>
          </w:p>
        </w:tc>
        <w:tc>
          <w:tcPr>
            <w:tcW w:type="dxa" w:w="2520"/>
          </w:tcPr>
          <w:p>
            <w:r>
              <w:rPr>
                <w:rFonts w:ascii="Aptos" w:hAnsi="Aptos"/>
                <w:b w:val="0"/>
                <w:color w:val="17202A"/>
                <w:sz w:val="18"/>
              </w:rPr>
              <w:t>Acquisition and conversion</w:t>
            </w:r>
          </w:p>
        </w:tc>
        <w:tc>
          <w:tcPr>
            <w:tcW w:type="dxa" w:w="2520"/>
          </w:tcPr>
          <w:p>
            <w:r>
              <w:rPr>
                <w:rFonts w:ascii="Aptos" w:hAnsi="Aptos"/>
                <w:b w:val="0"/>
                <w:color w:val="17202A"/>
                <w:sz w:val="18"/>
              </w:rPr>
              <w:t>New Signups, Paid Conversion, Paid Users, Channels</w:t>
            </w:r>
          </w:p>
        </w:tc>
        <w:tc>
          <w:tcPr>
            <w:tcW w:type="dxa" w:w="2520"/>
          </w:tcPr>
          <w:p>
            <w:r>
              <w:rPr>
                <w:rFonts w:ascii="Aptos" w:hAnsi="Aptos"/>
                <w:b w:val="0"/>
                <w:color w:val="17202A"/>
                <w:sz w:val="18"/>
              </w:rPr>
              <w:t>Acquisition Channels; Monthly New Signups; Acquisition → Paid Conversion; Paid Conversion Rate by Channel</w:t>
            </w:r>
          </w:p>
        </w:tc>
      </w:tr>
      <w:tr>
        <w:tc>
          <w:tcPr>
            <w:tcW w:type="dxa" w:w="2520"/>
          </w:tcPr>
          <w:p>
            <w:r>
              <w:rPr>
                <w:rFonts w:ascii="Aptos" w:hAnsi="Aptos"/>
                <w:b w:val="0"/>
                <w:color w:val="17202A"/>
                <w:sz w:val="18"/>
              </w:rPr>
              <w:t>03 — Revenue &amp; Monetization</w:t>
            </w:r>
          </w:p>
        </w:tc>
        <w:tc>
          <w:tcPr>
            <w:tcW w:type="dxa" w:w="2520"/>
          </w:tcPr>
          <w:p>
            <w:r>
              <w:rPr>
                <w:rFonts w:ascii="Aptos" w:hAnsi="Aptos"/>
                <w:b w:val="0"/>
                <w:color w:val="17202A"/>
                <w:sz w:val="18"/>
              </w:rPr>
              <w:t>Recurring revenue and plan economics</w:t>
            </w:r>
          </w:p>
        </w:tc>
        <w:tc>
          <w:tcPr>
            <w:tcW w:type="dxa" w:w="2520"/>
          </w:tcPr>
          <w:p>
            <w:r>
              <w:rPr>
                <w:rFonts w:ascii="Aptos" w:hAnsi="Aptos"/>
                <w:b w:val="0"/>
                <w:color w:val="17202A"/>
                <w:sz w:val="18"/>
              </w:rPr>
              <w:t>MRR, ARPU, Paid Users, Active Subscribers</w:t>
            </w:r>
          </w:p>
        </w:tc>
        <w:tc>
          <w:tcPr>
            <w:tcW w:type="dxa" w:w="2520"/>
          </w:tcPr>
          <w:p>
            <w:r>
              <w:rPr>
                <w:rFonts w:ascii="Aptos" w:hAnsi="Aptos"/>
                <w:b w:val="0"/>
                <w:color w:val="17202A"/>
                <w:sz w:val="18"/>
              </w:rPr>
              <w:t>Monthly Recurring Revenue; Revenue by Plan; Monthly ARPU; Paid User Mix by Plan</w:t>
            </w:r>
          </w:p>
        </w:tc>
      </w:tr>
      <w:tr>
        <w:tc>
          <w:tcPr>
            <w:tcW w:type="dxa" w:w="2520"/>
          </w:tcPr>
          <w:p>
            <w:r>
              <w:rPr>
                <w:rFonts w:ascii="Aptos" w:hAnsi="Aptos"/>
                <w:b w:val="0"/>
                <w:color w:val="17202A"/>
                <w:sz w:val="18"/>
              </w:rPr>
              <w:t>04 — Retention &amp; Engagement</w:t>
            </w:r>
          </w:p>
        </w:tc>
        <w:tc>
          <w:tcPr>
            <w:tcW w:type="dxa" w:w="2520"/>
          </w:tcPr>
          <w:p>
            <w:r>
              <w:rPr>
                <w:rFonts w:ascii="Aptos" w:hAnsi="Aptos"/>
                <w:b w:val="0"/>
                <w:color w:val="17202A"/>
                <w:sz w:val="18"/>
              </w:rPr>
              <w:t>Churn and user activity retention</w:t>
            </w:r>
          </w:p>
        </w:tc>
        <w:tc>
          <w:tcPr>
            <w:tcW w:type="dxa" w:w="2520"/>
          </w:tcPr>
          <w:p>
            <w:r>
              <w:rPr>
                <w:rFonts w:ascii="Aptos" w:hAnsi="Aptos"/>
                <w:b w:val="0"/>
                <w:color w:val="17202A"/>
                <w:sz w:val="18"/>
              </w:rPr>
              <w:t>Churn Rate, Avg Session Duration, Active Subscribers</w:t>
            </w:r>
          </w:p>
        </w:tc>
        <w:tc>
          <w:tcPr>
            <w:tcW w:type="dxa" w:w="2520"/>
          </w:tcPr>
          <w:p>
            <w:r>
              <w:rPr>
                <w:rFonts w:ascii="Aptos" w:hAnsi="Aptos"/>
                <w:b w:val="0"/>
                <w:color w:val="17202A"/>
                <w:sz w:val="18"/>
              </w:rPr>
              <w:t>Monthly Active-User Retention; Monthly Churn Rate</w:t>
            </w:r>
          </w:p>
        </w:tc>
      </w:tr>
    </w:tbl>
    <w:p>
      <w:pPr>
        <w:pStyle w:val="Heading2"/>
      </w:pPr>
      <w:r>
        <w:t>Dashboard screenshots</w:t>
      </w:r>
    </w:p>
    <w:p>
      <w:pPr>
        <w:jc w:val="center"/>
      </w:pPr>
      <w:r>
        <w:drawing>
          <wp:inline xmlns:a="http://schemas.openxmlformats.org/drawingml/2006/main" xmlns:pic="http://schemas.openxmlformats.org/drawingml/2006/picture">
            <wp:extent cx="5943600" cy="3363295"/>
            <wp:docPr id="1" name="Picture 1"/>
            <wp:cNvGraphicFramePr>
              <a:graphicFrameLocks noChangeAspect="1"/>
            </wp:cNvGraphicFramePr>
            <a:graphic>
              <a:graphicData uri="http://schemas.openxmlformats.org/drawingml/2006/picture">
                <pic:pic>
                  <pic:nvPicPr>
                    <pic:cNvPr id="0" name="222707f5-bd25-4dbf-a4ac-d0975c6d56aa.png"/>
                    <pic:cNvPicPr/>
                  </pic:nvPicPr>
                  <pic:blipFill>
                    <a:blip r:embed="rId9"/>
                    <a:stretch>
                      <a:fillRect/>
                    </a:stretch>
                  </pic:blipFill>
                  <pic:spPr>
                    <a:xfrm>
                      <a:off x="0" y="0"/>
                      <a:ext cx="5943600" cy="3363295"/>
                    </a:xfrm>
                    <a:prstGeom prst="rect"/>
                  </pic:spPr>
                </pic:pic>
              </a:graphicData>
            </a:graphic>
          </wp:inline>
        </w:drawing>
      </w:r>
    </w:p>
    <w:p>
      <w:pPr>
        <w:jc w:val="center"/>
      </w:pPr>
      <w:r>
        <w:rPr>
          <w:i/>
          <w:color w:val="475569"/>
          <w:sz w:val="16"/>
        </w:rPr>
        <w:t>Figure 1. Executive Overview</w:t>
      </w:r>
    </w:p>
    <w:p>
      <w:pPr>
        <w:jc w:val="center"/>
      </w:pPr>
      <w:r>
        <w:drawing>
          <wp:inline xmlns:a="http://schemas.openxmlformats.org/drawingml/2006/main" xmlns:pic="http://schemas.openxmlformats.org/drawingml/2006/picture">
            <wp:extent cx="5943600" cy="3355546"/>
            <wp:docPr id="2" name="Picture 2"/>
            <wp:cNvGraphicFramePr>
              <a:graphicFrameLocks noChangeAspect="1"/>
            </wp:cNvGraphicFramePr>
            <a:graphic>
              <a:graphicData uri="http://schemas.openxmlformats.org/drawingml/2006/picture">
                <pic:pic>
                  <pic:nvPicPr>
                    <pic:cNvPr id="0" name="52cc2f13-15fc-40cc-96d5-265ce784fc90.png"/>
                    <pic:cNvPicPr/>
                  </pic:nvPicPr>
                  <pic:blipFill>
                    <a:blip r:embed="rId10"/>
                    <a:stretch>
                      <a:fillRect/>
                    </a:stretch>
                  </pic:blipFill>
                  <pic:spPr>
                    <a:xfrm>
                      <a:off x="0" y="0"/>
                      <a:ext cx="5943600" cy="3355546"/>
                    </a:xfrm>
                    <a:prstGeom prst="rect"/>
                  </pic:spPr>
                </pic:pic>
              </a:graphicData>
            </a:graphic>
          </wp:inline>
        </w:drawing>
      </w:r>
    </w:p>
    <w:p>
      <w:pPr>
        <w:jc w:val="center"/>
      </w:pPr>
      <w:r>
        <w:rPr>
          <w:i/>
          <w:color w:val="475569"/>
          <w:sz w:val="16"/>
        </w:rPr>
        <w:t>Figure 2. Growth &amp; Acquisition</w:t>
      </w:r>
    </w:p>
    <w:p>
      <w:pPr>
        <w:jc w:val="center"/>
      </w:pPr>
      <w:r>
        <w:drawing>
          <wp:inline xmlns:a="http://schemas.openxmlformats.org/drawingml/2006/main" xmlns:pic="http://schemas.openxmlformats.org/drawingml/2006/picture">
            <wp:extent cx="5943600" cy="3345499"/>
            <wp:docPr id="3" name="Picture 3"/>
            <wp:cNvGraphicFramePr>
              <a:graphicFrameLocks noChangeAspect="1"/>
            </wp:cNvGraphicFramePr>
            <a:graphic>
              <a:graphicData uri="http://schemas.openxmlformats.org/drawingml/2006/picture">
                <pic:pic>
                  <pic:nvPicPr>
                    <pic:cNvPr id="0" name="3ea87a46-c5c0-4138-a9be-9ed966978da0.png"/>
                    <pic:cNvPicPr/>
                  </pic:nvPicPr>
                  <pic:blipFill>
                    <a:blip r:embed="rId11"/>
                    <a:stretch>
                      <a:fillRect/>
                    </a:stretch>
                  </pic:blipFill>
                  <pic:spPr>
                    <a:xfrm>
                      <a:off x="0" y="0"/>
                      <a:ext cx="5943600" cy="3345499"/>
                    </a:xfrm>
                    <a:prstGeom prst="rect"/>
                  </pic:spPr>
                </pic:pic>
              </a:graphicData>
            </a:graphic>
          </wp:inline>
        </w:drawing>
      </w:r>
    </w:p>
    <w:p>
      <w:pPr>
        <w:jc w:val="center"/>
      </w:pPr>
      <w:r>
        <w:rPr>
          <w:i/>
          <w:color w:val="475569"/>
          <w:sz w:val="16"/>
        </w:rPr>
        <w:t>Figure 3. Revenue &amp; Monetization</w:t>
      </w:r>
    </w:p>
    <w:p>
      <w:pPr>
        <w:jc w:val="center"/>
      </w:pPr>
      <w:r>
        <w:drawing>
          <wp:inline xmlns:a="http://schemas.openxmlformats.org/drawingml/2006/main" xmlns:pic="http://schemas.openxmlformats.org/drawingml/2006/picture">
            <wp:extent cx="5943600" cy="3358846"/>
            <wp:docPr id="4" name="Picture 4"/>
            <wp:cNvGraphicFramePr>
              <a:graphicFrameLocks noChangeAspect="1"/>
            </wp:cNvGraphicFramePr>
            <a:graphic>
              <a:graphicData uri="http://schemas.openxmlformats.org/drawingml/2006/picture">
                <pic:pic>
                  <pic:nvPicPr>
                    <pic:cNvPr id="0" name="d9425267-f559-4ebe-aada-3c12734251dd.png"/>
                    <pic:cNvPicPr/>
                  </pic:nvPicPr>
                  <pic:blipFill>
                    <a:blip r:embed="rId12"/>
                    <a:stretch>
                      <a:fillRect/>
                    </a:stretch>
                  </pic:blipFill>
                  <pic:spPr>
                    <a:xfrm>
                      <a:off x="0" y="0"/>
                      <a:ext cx="5943600" cy="3358846"/>
                    </a:xfrm>
                    <a:prstGeom prst="rect"/>
                  </pic:spPr>
                </pic:pic>
              </a:graphicData>
            </a:graphic>
          </wp:inline>
        </w:drawing>
      </w:r>
    </w:p>
    <w:p>
      <w:pPr>
        <w:jc w:val="center"/>
      </w:pPr>
      <w:r>
        <w:rPr>
          <w:i/>
          <w:color w:val="475569"/>
          <w:sz w:val="16"/>
        </w:rPr>
        <w:t>Figure 4. Retention &amp; Engagement</w:t>
      </w:r>
    </w:p>
    <w:p>
      <w:pPr>
        <w:pStyle w:val="Heading1"/>
      </w:pPr>
      <w:r>
        <w:t>8. Key Analytical Observations</w:t>
      </w:r>
    </w:p>
    <w:tbl>
      <w:tblPr>
        <w:tblStyle w:val="TableGrid"/>
        <w:tblW w:type="auto" w:w="0"/>
        <w:jc w:val="center"/>
        <w:tblLook w:firstColumn="1" w:firstRow="1" w:lastColumn="0" w:lastRow="0" w:noHBand="0" w:noVBand="1" w:val="04A0"/>
      </w:tblPr>
      <w:tblGrid>
        <w:gridCol w:w="5040"/>
        <w:gridCol w:w="5040"/>
      </w:tblGrid>
      <w:tr>
        <w:tc>
          <w:tcPr>
            <w:tcW w:type="dxa" w:w="5040"/>
            <w:shd w:fill="17202A"/>
          </w:tcPr>
          <w:p>
            <w:r>
              <w:rPr>
                <w:rFonts w:ascii="Aptos" w:hAnsi="Aptos"/>
                <w:b/>
                <w:color w:val="FFFFFF"/>
                <w:sz w:val="18"/>
              </w:rPr>
              <w:t>Area</w:t>
            </w:r>
          </w:p>
        </w:tc>
        <w:tc>
          <w:tcPr>
            <w:tcW w:type="dxa" w:w="5040"/>
            <w:shd w:fill="17202A"/>
          </w:tcPr>
          <w:p>
            <w:r>
              <w:rPr>
                <w:rFonts w:ascii="Aptos" w:hAnsi="Aptos"/>
                <w:b/>
                <w:color w:val="FFFFFF"/>
                <w:sz w:val="18"/>
              </w:rPr>
              <w:t>Observation</w:t>
            </w:r>
          </w:p>
        </w:tc>
      </w:tr>
      <w:tr>
        <w:tc>
          <w:tcPr>
            <w:tcW w:type="dxa" w:w="5040"/>
          </w:tcPr>
          <w:p>
            <w:r>
              <w:rPr>
                <w:rFonts w:ascii="Aptos" w:hAnsi="Aptos"/>
                <w:b w:val="0"/>
                <w:color w:val="17202A"/>
                <w:sz w:val="18"/>
              </w:rPr>
              <w:t>Conversion</w:t>
            </w:r>
          </w:p>
        </w:tc>
        <w:tc>
          <w:tcPr>
            <w:tcW w:type="dxa" w:w="5040"/>
          </w:tcPr>
          <w:p>
            <w:r>
              <w:rPr>
                <w:rFonts w:ascii="Aptos" w:hAnsi="Aptos"/>
                <w:b w:val="0"/>
                <w:color w:val="17202A"/>
                <w:sz w:val="18"/>
              </w:rPr>
              <w:t>2,000 users enter the funnel, 1,926 reach the engaged stage, and 988 are paid; signup-to-paid conversion is 49.4%.</w:t>
            </w:r>
          </w:p>
        </w:tc>
      </w:tr>
      <w:tr>
        <w:tc>
          <w:tcPr>
            <w:tcW w:type="dxa" w:w="5040"/>
          </w:tcPr>
          <w:p>
            <w:r>
              <w:rPr>
                <w:rFonts w:ascii="Aptos" w:hAnsi="Aptos"/>
                <w:b w:val="0"/>
                <w:color w:val="17202A"/>
                <w:sz w:val="18"/>
              </w:rPr>
              <w:t>Acquisition</w:t>
            </w:r>
          </w:p>
        </w:tc>
        <w:tc>
          <w:tcPr>
            <w:tcW w:type="dxa" w:w="5040"/>
          </w:tcPr>
          <w:p>
            <w:r>
              <w:rPr>
                <w:rFonts w:ascii="Aptos" w:hAnsi="Aptos"/>
                <w:b w:val="0"/>
                <w:color w:val="17202A"/>
                <w:sz w:val="18"/>
              </w:rPr>
              <w:t>The three channels are Paid Ads, Organic, and Referral; the Growth page compares volume and paid conversion.</w:t>
            </w:r>
          </w:p>
        </w:tc>
      </w:tr>
      <w:tr>
        <w:tc>
          <w:tcPr>
            <w:tcW w:type="dxa" w:w="5040"/>
          </w:tcPr>
          <w:p>
            <w:r>
              <w:rPr>
                <w:rFonts w:ascii="Aptos" w:hAnsi="Aptos"/>
                <w:b w:val="0"/>
                <w:color w:val="17202A"/>
                <w:sz w:val="18"/>
              </w:rPr>
              <w:t>Revenue</w:t>
            </w:r>
          </w:p>
        </w:tc>
        <w:tc>
          <w:tcPr>
            <w:tcW w:type="dxa" w:w="5040"/>
          </w:tcPr>
          <w:p>
            <w:r>
              <w:rPr>
                <w:rFonts w:ascii="Aptos" w:hAnsi="Aptos"/>
                <w:b w:val="0"/>
                <w:color w:val="17202A"/>
                <w:sz w:val="18"/>
              </w:rPr>
              <w:t>MRR rises through the first part of the year, drops sharply around July, and then recovers toward December.</w:t>
            </w:r>
          </w:p>
        </w:tc>
      </w:tr>
      <w:tr>
        <w:tc>
          <w:tcPr>
            <w:tcW w:type="dxa" w:w="5040"/>
          </w:tcPr>
          <w:p>
            <w:r>
              <w:rPr>
                <w:rFonts w:ascii="Aptos" w:hAnsi="Aptos"/>
                <w:b w:val="0"/>
                <w:color w:val="17202A"/>
                <w:sz w:val="18"/>
              </w:rPr>
              <w:t>Plan Mix</w:t>
            </w:r>
          </w:p>
        </w:tc>
        <w:tc>
          <w:tcPr>
            <w:tcW w:type="dxa" w:w="5040"/>
          </w:tcPr>
          <w:p>
            <w:r>
              <w:rPr>
                <w:rFonts w:ascii="Aptos" w:hAnsi="Aptos"/>
                <w:b w:val="0"/>
                <w:color w:val="17202A"/>
                <w:sz w:val="18"/>
              </w:rPr>
              <w:t>Pro contributes the largest recurring subscription value, followed by Basic; Free contributes ₹0.</w:t>
            </w:r>
          </w:p>
        </w:tc>
      </w:tr>
      <w:tr>
        <w:tc>
          <w:tcPr>
            <w:tcW w:type="dxa" w:w="5040"/>
          </w:tcPr>
          <w:p>
            <w:r>
              <w:rPr>
                <w:rFonts w:ascii="Aptos" w:hAnsi="Aptos"/>
                <w:b w:val="0"/>
                <w:color w:val="17202A"/>
                <w:sz w:val="18"/>
              </w:rPr>
              <w:t>ARPU</w:t>
            </w:r>
          </w:p>
        </w:tc>
        <w:tc>
          <w:tcPr>
            <w:tcW w:type="dxa" w:w="5040"/>
          </w:tcPr>
          <w:p>
            <w:r>
              <w:rPr>
                <w:rFonts w:ascii="Aptos" w:hAnsi="Aptos"/>
                <w:b w:val="0"/>
                <w:color w:val="17202A"/>
                <w:sz w:val="18"/>
              </w:rPr>
              <w:t>Latest monthly ARPU is approximately ₹3,274 per paid user.</w:t>
            </w:r>
          </w:p>
        </w:tc>
      </w:tr>
      <w:tr>
        <w:tc>
          <w:tcPr>
            <w:tcW w:type="dxa" w:w="5040"/>
          </w:tcPr>
          <w:p>
            <w:r>
              <w:rPr>
                <w:rFonts w:ascii="Aptos" w:hAnsi="Aptos"/>
                <w:b w:val="0"/>
                <w:color w:val="17202A"/>
                <w:sz w:val="18"/>
              </w:rPr>
              <w:t>Churn</w:t>
            </w:r>
          </w:p>
        </w:tc>
        <w:tc>
          <w:tcPr>
            <w:tcW w:type="dxa" w:w="5040"/>
          </w:tcPr>
          <w:p>
            <w:r>
              <w:rPr>
                <w:rFonts w:ascii="Aptos" w:hAnsi="Aptos"/>
                <w:b w:val="0"/>
                <w:color w:val="17202A"/>
                <w:sz w:val="18"/>
              </w:rPr>
              <w:t>Overall churn is approximately 28.8%; monthly churn varies across the year.</w:t>
            </w:r>
          </w:p>
        </w:tc>
      </w:tr>
      <w:tr>
        <w:tc>
          <w:tcPr>
            <w:tcW w:type="dxa" w:w="5040"/>
          </w:tcPr>
          <w:p>
            <w:r>
              <w:rPr>
                <w:rFonts w:ascii="Aptos" w:hAnsi="Aptos"/>
                <w:b w:val="0"/>
                <w:color w:val="17202A"/>
                <w:sz w:val="18"/>
              </w:rPr>
              <w:t>Engagement</w:t>
            </w:r>
          </w:p>
        </w:tc>
        <w:tc>
          <w:tcPr>
            <w:tcW w:type="dxa" w:w="5040"/>
          </w:tcPr>
          <w:p>
            <w:r>
              <w:rPr>
                <w:rFonts w:ascii="Aptos" w:hAnsi="Aptos"/>
                <w:b w:val="0"/>
                <w:color w:val="17202A"/>
                <w:sz w:val="18"/>
              </w:rPr>
              <w:t>Average session duration is approximately 15.5 minutes.</w:t>
            </w:r>
          </w:p>
        </w:tc>
      </w:tr>
      <w:tr>
        <w:tc>
          <w:tcPr>
            <w:tcW w:type="dxa" w:w="5040"/>
          </w:tcPr>
          <w:p>
            <w:r>
              <w:rPr>
                <w:rFonts w:ascii="Aptos" w:hAnsi="Aptos"/>
                <w:b w:val="0"/>
                <w:color w:val="17202A"/>
                <w:sz w:val="18"/>
              </w:rPr>
              <w:t>Cohorts</w:t>
            </w:r>
          </w:p>
        </w:tc>
        <w:tc>
          <w:tcPr>
            <w:tcW w:type="dxa" w:w="5040"/>
          </w:tcPr>
          <w:p>
            <w:r>
              <w:rPr>
                <w:rFonts w:ascii="Aptos" w:hAnsi="Aptos"/>
                <w:b w:val="0"/>
                <w:color w:val="17202A"/>
                <w:sz w:val="18"/>
              </w:rPr>
              <w:t>Monthly active-user retention varies by signup cohort and elapsed month.</w:t>
            </w:r>
          </w:p>
        </w:tc>
      </w:tr>
    </w:tbl>
    <w:p>
      <w:pPr>
        <w:pStyle w:val="Heading1"/>
      </w:pPr>
      <w:r>
        <w:t>9. Analytical Definitions &amp; Limitations</w:t>
      </w:r>
    </w:p>
    <w:p>
      <w:pPr>
        <w:pStyle w:val="Heading2"/>
      </w:pPr>
      <w:r>
        <w:t>Cohort retention definition</w:t>
      </w:r>
    </w:p>
    <w:p>
      <w:r>
        <w:t>The cohort heatmap represents monthly active-user retention, not conventional subscription-survival retention. A user is counted as active when qualifying event activity occurs in a month. Therefore Month 0 is not forced to 100%.</w:t>
      </w:r>
    </w:p>
    <w:p>
      <w:pPr>
        <w:pStyle w:val="Heading2"/>
      </w:pPr>
      <w:r>
        <w:t>Other considerations</w:t>
      </w:r>
    </w:p>
    <w:p>
      <w:pPr>
        <w:pStyle w:val="ListBullet"/>
      </w:pPr>
      <w:r>
        <w:t>The headline Churn Rate is an overall user-level KPI; the Retention page separately shows the monthly churn trend.</w:t>
      </w:r>
    </w:p>
    <w:p>
      <w:pPr>
        <w:pStyle w:val="ListBullet"/>
      </w:pPr>
      <w:r>
        <w:t>MRR, ARPU, and Active Subscribers are represented as latest-month snapshot KPIs.</w:t>
      </w:r>
    </w:p>
    <w:p>
      <w:pPr>
        <w:pStyle w:val="ListBullet"/>
      </w:pPr>
      <w:r>
        <w:t>The dataset is synthetic/portfolio-oriented and should not be interpreted as production company data.</w:t>
      </w:r>
    </w:p>
    <w:p>
      <w:pPr>
        <w:pStyle w:val="ListBullet"/>
      </w:pPr>
      <w:r>
        <w:t>The observation period limits how far long-term retention can be measured.</w:t>
      </w:r>
    </w:p>
    <w:p>
      <w:pPr>
        <w:pStyle w:val="ListBullet"/>
      </w:pPr>
      <w:r>
        <w:t>Currency is represented in Indian Rupees.</w:t>
      </w:r>
    </w:p>
    <w:p>
      <w:pPr>
        <w:pStyle w:val="Heading1"/>
      </w:pPr>
      <w:r>
        <w:t>10. Dashboard Design System</w:t>
      </w:r>
    </w:p>
    <w:tbl>
      <w:tblPr>
        <w:tblStyle w:val="TableGrid"/>
        <w:tblW w:type="auto" w:w="0"/>
        <w:jc w:val="center"/>
        <w:tblLook w:firstColumn="1" w:firstRow="1" w:lastColumn="0" w:lastRow="0" w:noHBand="0" w:noVBand="1" w:val="04A0"/>
      </w:tblPr>
      <w:tblGrid>
        <w:gridCol w:w="5040"/>
        <w:gridCol w:w="5040"/>
      </w:tblGrid>
      <w:tr>
        <w:tc>
          <w:tcPr>
            <w:tcW w:type="dxa" w:w="5040"/>
            <w:shd w:fill="17202A"/>
          </w:tcPr>
          <w:p>
            <w:r>
              <w:rPr>
                <w:rFonts w:ascii="Aptos" w:hAnsi="Aptos"/>
                <w:b/>
                <w:color w:val="FFFFFF"/>
                <w:sz w:val="18"/>
              </w:rPr>
              <w:t>Element</w:t>
            </w:r>
          </w:p>
        </w:tc>
        <w:tc>
          <w:tcPr>
            <w:tcW w:type="dxa" w:w="5040"/>
            <w:shd w:fill="17202A"/>
          </w:tcPr>
          <w:p>
            <w:r>
              <w:rPr>
                <w:rFonts w:ascii="Aptos" w:hAnsi="Aptos"/>
                <w:b/>
                <w:color w:val="FFFFFF"/>
                <w:sz w:val="18"/>
              </w:rPr>
              <w:t>Implementation</w:t>
            </w:r>
          </w:p>
        </w:tc>
      </w:tr>
      <w:tr>
        <w:tc>
          <w:tcPr>
            <w:tcW w:type="dxa" w:w="5040"/>
          </w:tcPr>
          <w:p>
            <w:r>
              <w:rPr>
                <w:rFonts w:ascii="Aptos" w:hAnsi="Aptos"/>
                <w:b w:val="0"/>
                <w:color w:val="17202A"/>
                <w:sz w:val="18"/>
              </w:rPr>
              <w:t>Brand</w:t>
            </w:r>
          </w:p>
        </w:tc>
        <w:tc>
          <w:tcPr>
            <w:tcW w:type="dxa" w:w="5040"/>
          </w:tcPr>
          <w:p>
            <w:r>
              <w:rPr>
                <w:rFonts w:ascii="Aptos" w:hAnsi="Aptos"/>
                <w:b w:val="0"/>
                <w:color w:val="17202A"/>
                <w:sz w:val="18"/>
              </w:rPr>
              <w:t>PULSE ANALYTICS</w:t>
            </w:r>
          </w:p>
        </w:tc>
      </w:tr>
      <w:tr>
        <w:tc>
          <w:tcPr>
            <w:tcW w:type="dxa" w:w="5040"/>
          </w:tcPr>
          <w:p>
            <w:r>
              <w:rPr>
                <w:rFonts w:ascii="Aptos" w:hAnsi="Aptos"/>
                <w:b w:val="0"/>
                <w:color w:val="17202A"/>
                <w:sz w:val="18"/>
              </w:rPr>
              <w:t>Primary Accent</w:t>
            </w:r>
          </w:p>
        </w:tc>
        <w:tc>
          <w:tcPr>
            <w:tcW w:type="dxa" w:w="5040"/>
          </w:tcPr>
          <w:p>
            <w:r>
              <w:rPr>
                <w:rFonts w:ascii="Aptos" w:hAnsi="Aptos"/>
                <w:b w:val="0"/>
                <w:color w:val="17202A"/>
                <w:sz w:val="18"/>
              </w:rPr>
              <w:t>#14B8A6</w:t>
            </w:r>
          </w:p>
        </w:tc>
      </w:tr>
      <w:tr>
        <w:tc>
          <w:tcPr>
            <w:tcW w:type="dxa" w:w="5040"/>
          </w:tcPr>
          <w:p>
            <w:r>
              <w:rPr>
                <w:rFonts w:ascii="Aptos" w:hAnsi="Aptos"/>
                <w:b w:val="0"/>
                <w:color w:val="17202A"/>
                <w:sz w:val="18"/>
              </w:rPr>
              <w:t>Navigation</w:t>
            </w:r>
          </w:p>
        </w:tc>
        <w:tc>
          <w:tcPr>
            <w:tcW w:type="dxa" w:w="5040"/>
          </w:tcPr>
          <w:p>
            <w:r>
              <w:rPr>
                <w:rFonts w:ascii="Aptos" w:hAnsi="Aptos"/>
                <w:b w:val="0"/>
                <w:color w:val="17202A"/>
                <w:sz w:val="18"/>
              </w:rPr>
              <w:t>#17202A</w:t>
            </w:r>
          </w:p>
        </w:tc>
      </w:tr>
      <w:tr>
        <w:tc>
          <w:tcPr>
            <w:tcW w:type="dxa" w:w="5040"/>
          </w:tcPr>
          <w:p>
            <w:r>
              <w:rPr>
                <w:rFonts w:ascii="Aptos" w:hAnsi="Aptos"/>
                <w:b w:val="0"/>
                <w:color w:val="17202A"/>
                <w:sz w:val="18"/>
              </w:rPr>
              <w:t>Secondary Accent</w:t>
            </w:r>
          </w:p>
        </w:tc>
        <w:tc>
          <w:tcPr>
            <w:tcW w:type="dxa" w:w="5040"/>
          </w:tcPr>
          <w:p>
            <w:r>
              <w:rPr>
                <w:rFonts w:ascii="Aptos" w:hAnsi="Aptos"/>
                <w:b w:val="0"/>
                <w:color w:val="17202A"/>
                <w:sz w:val="18"/>
              </w:rPr>
              <w:t>#0F766E</w:t>
            </w:r>
          </w:p>
        </w:tc>
      </w:tr>
      <w:tr>
        <w:tc>
          <w:tcPr>
            <w:tcW w:type="dxa" w:w="5040"/>
          </w:tcPr>
          <w:p>
            <w:r>
              <w:rPr>
                <w:rFonts w:ascii="Aptos" w:hAnsi="Aptos"/>
                <w:b w:val="0"/>
                <w:color w:val="17202A"/>
                <w:sz w:val="18"/>
              </w:rPr>
              <w:t>Negative / Churn</w:t>
            </w:r>
          </w:p>
        </w:tc>
        <w:tc>
          <w:tcPr>
            <w:tcW w:type="dxa" w:w="5040"/>
          </w:tcPr>
          <w:p>
            <w:r>
              <w:rPr>
                <w:rFonts w:ascii="Aptos" w:hAnsi="Aptos"/>
                <w:b w:val="0"/>
                <w:color w:val="17202A"/>
                <w:sz w:val="18"/>
              </w:rPr>
              <w:t>#EF4444</w:t>
            </w:r>
          </w:p>
        </w:tc>
      </w:tr>
      <w:tr>
        <w:tc>
          <w:tcPr>
            <w:tcW w:type="dxa" w:w="5040"/>
          </w:tcPr>
          <w:p>
            <w:r>
              <w:rPr>
                <w:rFonts w:ascii="Aptos" w:hAnsi="Aptos"/>
                <w:b w:val="0"/>
                <w:color w:val="17202A"/>
                <w:sz w:val="18"/>
              </w:rPr>
              <w:t>Canvas</w:t>
            </w:r>
          </w:p>
        </w:tc>
        <w:tc>
          <w:tcPr>
            <w:tcW w:type="dxa" w:w="5040"/>
          </w:tcPr>
          <w:p>
            <w:r>
              <w:rPr>
                <w:rFonts w:ascii="Aptos" w:hAnsi="Aptos"/>
                <w:b w:val="0"/>
                <w:color w:val="17202A"/>
                <w:sz w:val="18"/>
              </w:rPr>
              <w:t>#F7F8FA</w:t>
            </w:r>
          </w:p>
        </w:tc>
      </w:tr>
      <w:tr>
        <w:tc>
          <w:tcPr>
            <w:tcW w:type="dxa" w:w="5040"/>
          </w:tcPr>
          <w:p>
            <w:r>
              <w:rPr>
                <w:rFonts w:ascii="Aptos" w:hAnsi="Aptos"/>
                <w:b w:val="0"/>
                <w:color w:val="17202A"/>
                <w:sz w:val="18"/>
              </w:rPr>
              <w:t>Typography</w:t>
            </w:r>
          </w:p>
        </w:tc>
        <w:tc>
          <w:tcPr>
            <w:tcW w:type="dxa" w:w="5040"/>
          </w:tcPr>
          <w:p>
            <w:r>
              <w:rPr>
                <w:rFonts w:ascii="Aptos" w:hAnsi="Aptos"/>
                <w:b w:val="0"/>
                <w:color w:val="17202A"/>
                <w:sz w:val="18"/>
              </w:rPr>
              <w:t>Segoe UI-style hierarchy</w:t>
            </w:r>
          </w:p>
        </w:tc>
      </w:tr>
      <w:tr>
        <w:tc>
          <w:tcPr>
            <w:tcW w:type="dxa" w:w="5040"/>
          </w:tcPr>
          <w:p>
            <w:r>
              <w:rPr>
                <w:rFonts w:ascii="Aptos" w:hAnsi="Aptos"/>
                <w:b w:val="0"/>
                <w:color w:val="17202A"/>
                <w:sz w:val="18"/>
              </w:rPr>
              <w:t>Layout</w:t>
            </w:r>
          </w:p>
        </w:tc>
        <w:tc>
          <w:tcPr>
            <w:tcW w:type="dxa" w:w="5040"/>
          </w:tcPr>
          <w:p>
            <w:r>
              <w:rPr>
                <w:rFonts w:ascii="Aptos" w:hAnsi="Aptos"/>
                <w:b w:val="0"/>
                <w:color w:val="17202A"/>
                <w:sz w:val="18"/>
              </w:rPr>
              <w:t>16:9, consistent KPI cards, two-column analytical layout</w:t>
            </w:r>
          </w:p>
        </w:tc>
      </w:tr>
      <w:tr>
        <w:tc>
          <w:tcPr>
            <w:tcW w:type="dxa" w:w="5040"/>
          </w:tcPr>
          <w:p>
            <w:r>
              <w:rPr>
                <w:rFonts w:ascii="Aptos" w:hAnsi="Aptos"/>
                <w:b w:val="0"/>
                <w:color w:val="17202A"/>
                <w:sz w:val="18"/>
              </w:rPr>
              <w:t>Navigation</w:t>
            </w:r>
          </w:p>
        </w:tc>
        <w:tc>
          <w:tcPr>
            <w:tcW w:type="dxa" w:w="5040"/>
          </w:tcPr>
          <w:p>
            <w:r>
              <w:rPr>
                <w:rFonts w:ascii="Aptos" w:hAnsi="Aptos"/>
                <w:b w:val="0"/>
                <w:color w:val="17202A"/>
                <w:sz w:val="18"/>
              </w:rPr>
              <w:t>Overview, Growth, Revenue, Retention</w:t>
            </w:r>
          </w:p>
        </w:tc>
      </w:tr>
    </w:tbl>
    <w:p>
      <w:r>
        <w:t>The dashboard was intentionally designed as a lightweight SaaS analytics product rather than a generic collection of Power BI charts. The visual system uses a dark navigation rail, light analytical canvas, teal accent, restrained typography, whitespace, and consistent card/chart containers.</w:t>
      </w:r>
    </w:p>
    <w:p>
      <w:pPr>
        <w:pStyle w:val="Heading1"/>
      </w:pPr>
      <w:r>
        <w:t>11. End-to-End Technical Workflow</w:t>
      </w:r>
    </w:p>
    <w:tbl>
      <w:tblPr>
        <w:tblStyle w:val="TableGrid"/>
        <w:tblW w:type="auto" w:w="0"/>
        <w:jc w:val="center"/>
        <w:tblLook w:firstColumn="1" w:firstRow="1" w:lastColumn="0" w:lastRow="0" w:noHBand="0" w:noVBand="1" w:val="04A0"/>
      </w:tblPr>
      <w:tblGrid>
        <w:gridCol w:w="5040"/>
        <w:gridCol w:w="5040"/>
      </w:tblGrid>
      <w:tr>
        <w:tc>
          <w:tcPr>
            <w:tcW w:type="dxa" w:w="5040"/>
            <w:shd w:fill="17202A"/>
          </w:tcPr>
          <w:p>
            <w:r>
              <w:rPr>
                <w:rFonts w:ascii="Aptos" w:hAnsi="Aptos"/>
                <w:b/>
                <w:color w:val="FFFFFF"/>
                <w:sz w:val="18"/>
              </w:rPr>
              <w:t>Stage</w:t>
            </w:r>
          </w:p>
        </w:tc>
        <w:tc>
          <w:tcPr>
            <w:tcW w:type="dxa" w:w="5040"/>
            <w:shd w:fill="17202A"/>
          </w:tcPr>
          <w:p>
            <w:r>
              <w:rPr>
                <w:rFonts w:ascii="Aptos" w:hAnsi="Aptos"/>
                <w:b/>
                <w:color w:val="FFFFFF"/>
                <w:sz w:val="18"/>
              </w:rPr>
              <w:t>Work Completed</w:t>
            </w:r>
          </w:p>
        </w:tc>
      </w:tr>
      <w:tr>
        <w:tc>
          <w:tcPr>
            <w:tcW w:type="dxa" w:w="5040"/>
          </w:tcPr>
          <w:p>
            <w:r>
              <w:rPr>
                <w:rFonts w:ascii="Aptos" w:hAnsi="Aptos"/>
                <w:b w:val="0"/>
                <w:color w:val="17202A"/>
                <w:sz w:val="18"/>
              </w:rPr>
              <w:t>Source</w:t>
            </w:r>
          </w:p>
        </w:tc>
        <w:tc>
          <w:tcPr>
            <w:tcW w:type="dxa" w:w="5040"/>
          </w:tcPr>
          <w:p>
            <w:r>
              <w:rPr>
                <w:rFonts w:ascii="Aptos" w:hAnsi="Aptos"/>
                <w:b w:val="0"/>
                <w:color w:val="17202A"/>
                <w:sz w:val="18"/>
              </w:rPr>
              <w:t>Users, subscriptions, and product events.</w:t>
            </w:r>
          </w:p>
        </w:tc>
      </w:tr>
      <w:tr>
        <w:tc>
          <w:tcPr>
            <w:tcW w:type="dxa" w:w="5040"/>
          </w:tcPr>
          <w:p>
            <w:r>
              <w:rPr>
                <w:rFonts w:ascii="Aptos" w:hAnsi="Aptos"/>
                <w:b w:val="0"/>
                <w:color w:val="17202A"/>
                <w:sz w:val="18"/>
              </w:rPr>
              <w:t>Python / Pandas</w:t>
            </w:r>
          </w:p>
        </w:tc>
        <w:tc>
          <w:tcPr>
            <w:tcW w:type="dxa" w:w="5040"/>
          </w:tcPr>
          <w:p>
            <w:r>
              <w:rPr>
                <w:rFonts w:ascii="Aptos" w:hAnsi="Aptos"/>
                <w:b w:val="0"/>
                <w:color w:val="17202A"/>
                <w:sz w:val="18"/>
              </w:rPr>
              <w:t>Data loading, aggregation, user summaries, monthly KPIs, funnel and cohort preparation.</w:t>
            </w:r>
          </w:p>
        </w:tc>
      </w:tr>
      <w:tr>
        <w:tc>
          <w:tcPr>
            <w:tcW w:type="dxa" w:w="5040"/>
          </w:tcPr>
          <w:p>
            <w:r>
              <w:rPr>
                <w:rFonts w:ascii="Aptos" w:hAnsi="Aptos"/>
                <w:b w:val="0"/>
                <w:color w:val="17202A"/>
                <w:sz w:val="18"/>
              </w:rPr>
              <w:t>Exports</w:t>
            </w:r>
          </w:p>
        </w:tc>
        <w:tc>
          <w:tcPr>
            <w:tcW w:type="dxa" w:w="5040"/>
          </w:tcPr>
          <w:p>
            <w:r>
              <w:rPr>
                <w:rFonts w:ascii="Aptos" w:hAnsi="Aptos"/>
                <w:b w:val="0"/>
                <w:color w:val="17202A"/>
                <w:sz w:val="18"/>
              </w:rPr>
              <w:t>users.csv, subscriptions.csv, events.csv, user_360.csv, monthly_metrics.csv, funnel_metrics.csv, cohort_retention.csv.</w:t>
            </w:r>
          </w:p>
        </w:tc>
      </w:tr>
      <w:tr>
        <w:tc>
          <w:tcPr>
            <w:tcW w:type="dxa" w:w="5040"/>
          </w:tcPr>
          <w:p>
            <w:r>
              <w:rPr>
                <w:rFonts w:ascii="Aptos" w:hAnsi="Aptos"/>
                <w:b w:val="0"/>
                <w:color w:val="17202A"/>
                <w:sz w:val="18"/>
              </w:rPr>
              <w:t>Power BI</w:t>
            </w:r>
          </w:p>
        </w:tc>
        <w:tc>
          <w:tcPr>
            <w:tcW w:type="dxa" w:w="5040"/>
          </w:tcPr>
          <w:p>
            <w:r>
              <w:rPr>
                <w:rFonts w:ascii="Aptos" w:hAnsi="Aptos"/>
                <w:b w:val="0"/>
                <w:color w:val="17202A"/>
                <w:sz w:val="18"/>
              </w:rPr>
              <w:t>Import, relationships, DateTable, DAX, formatting.</w:t>
            </w:r>
          </w:p>
        </w:tc>
      </w:tr>
      <w:tr>
        <w:tc>
          <w:tcPr>
            <w:tcW w:type="dxa" w:w="5040"/>
          </w:tcPr>
          <w:p>
            <w:r>
              <w:rPr>
                <w:rFonts w:ascii="Aptos" w:hAnsi="Aptos"/>
                <w:b w:val="0"/>
                <w:color w:val="17202A"/>
                <w:sz w:val="18"/>
              </w:rPr>
              <w:t>Visualization</w:t>
            </w:r>
          </w:p>
        </w:tc>
        <w:tc>
          <w:tcPr>
            <w:tcW w:type="dxa" w:w="5040"/>
          </w:tcPr>
          <w:p>
            <w:r>
              <w:rPr>
                <w:rFonts w:ascii="Aptos" w:hAnsi="Aptos"/>
                <w:b w:val="0"/>
                <w:color w:val="17202A"/>
                <w:sz w:val="18"/>
              </w:rPr>
              <w:t>Four business-oriented pages with a consistent design system.</w:t>
            </w:r>
          </w:p>
        </w:tc>
      </w:tr>
      <w:tr>
        <w:tc>
          <w:tcPr>
            <w:tcW w:type="dxa" w:w="5040"/>
          </w:tcPr>
          <w:p>
            <w:r>
              <w:rPr>
                <w:rFonts w:ascii="Aptos" w:hAnsi="Aptos"/>
                <w:b w:val="0"/>
                <w:color w:val="17202A"/>
                <w:sz w:val="18"/>
              </w:rPr>
              <w:t>QA</w:t>
            </w:r>
          </w:p>
        </w:tc>
        <w:tc>
          <w:tcPr>
            <w:tcW w:type="dxa" w:w="5040"/>
          </w:tcPr>
          <w:p>
            <w:r>
              <w:rPr>
                <w:rFonts w:ascii="Aptos" w:hAnsi="Aptos"/>
                <w:b w:val="0"/>
                <w:color w:val="17202A"/>
                <w:sz w:val="18"/>
              </w:rPr>
              <w:t>Metric validation, formatting, labels, filters, plan mix and visual consistency.</w:t>
            </w:r>
          </w:p>
        </w:tc>
      </w:tr>
    </w:tbl>
    <w:p>
      <w:pPr>
        <w:pStyle w:val="Heading1"/>
      </w:pPr>
      <w:r>
        <w:t>12. Portfolio / Interview Story</w:t>
      </w:r>
    </w:p>
    <w:p>
      <w:r>
        <w:t>The project can be presented as an end-to-end product analytics case study rather than simply as a dashboard.</w:t>
      </w:r>
    </w:p>
    <w:p>
      <w:r>
        <w:t>Suggested interview narrative:</w:t>
      </w:r>
    </w:p>
    <w:p>
      <w:r>
        <w:t>“I built a SaaS product analytics solution to understand the full customer lifecycle from acquisition to engagement, conversion, monetization, and retention. I started with user, subscription, and event-level data, prepared analysis-ready datasets using Python and Pandas, then modeled the data in Power BI and created DAX measures for core SaaS KPIs. The final report has four pages covering executive health, growth and acquisition, revenue and monetization, and retention and engagement. I also used funnel and cohort analysis to move beyond simple KPI reporting and identify where users progress or drop off across the product lifecycle.”</w:t>
      </w:r>
    </w:p>
    <w:p>
      <w:pPr>
        <w:pStyle w:val="Heading2"/>
      </w:pPr>
      <w:r>
        <w:t>Skills demonstrated</w:t>
      </w:r>
    </w:p>
    <w:p>
      <w:pPr>
        <w:pStyle w:val="ListBullet"/>
      </w:pPr>
      <w:r>
        <w:t>Python and Pandas data preparation</w:t>
      </w:r>
    </w:p>
    <w:p>
      <w:pPr>
        <w:pStyle w:val="ListBullet"/>
      </w:pPr>
      <w:r>
        <w:t>Data cleaning and aggregation</w:t>
      </w:r>
    </w:p>
    <w:p>
      <w:pPr>
        <w:pStyle w:val="ListBullet"/>
      </w:pPr>
      <w:r>
        <w:t>SaaS KPI definition</w:t>
      </w:r>
    </w:p>
    <w:p>
      <w:pPr>
        <w:pStyle w:val="ListBullet"/>
      </w:pPr>
      <w:r>
        <w:t>Power BI data modeling</w:t>
      </w:r>
    </w:p>
    <w:p>
      <w:pPr>
        <w:pStyle w:val="ListBullet"/>
      </w:pPr>
      <w:r>
        <w:t>DAX</w:t>
      </w:r>
    </w:p>
    <w:p>
      <w:pPr>
        <w:pStyle w:val="ListBullet"/>
      </w:pPr>
      <w:r>
        <w:t>Funnel analysis</w:t>
      </w:r>
    </w:p>
    <w:p>
      <w:pPr>
        <w:pStyle w:val="ListBullet"/>
      </w:pPr>
      <w:r>
        <w:t>Cohort analysis</w:t>
      </w:r>
    </w:p>
    <w:p>
      <w:pPr>
        <w:pStyle w:val="ListBullet"/>
      </w:pPr>
      <w:r>
        <w:t>Retention and churn analysis</w:t>
      </w:r>
    </w:p>
    <w:p>
      <w:pPr>
        <w:pStyle w:val="ListBullet"/>
      </w:pPr>
      <w:r>
        <w:t>Business dashboard design</w:t>
      </w:r>
    </w:p>
    <w:p>
      <w:pPr>
        <w:pStyle w:val="ListBullet"/>
      </w:pPr>
      <w:r>
        <w:t>Data storytelling</w:t>
      </w:r>
    </w:p>
    <w:p>
      <w:pPr>
        <w:pStyle w:val="Heading1"/>
      </w:pPr>
      <w:r>
        <w:t>13. Potential Future Extensions</w:t>
      </w:r>
    </w:p>
    <w:p>
      <w:pPr>
        <w:pStyle w:val="ListBullet"/>
      </w:pPr>
      <w:r>
        <w:t>Add subscription-survival retention alongside activity retention.</w:t>
      </w:r>
    </w:p>
    <w:p>
      <w:pPr>
        <w:pStyle w:val="ListBullet"/>
      </w:pPr>
      <w:r>
        <w:t>Add plan-level churn and upgrade/downgrade analysis.</w:t>
      </w:r>
    </w:p>
    <w:p>
      <w:pPr>
        <w:pStyle w:val="ListBullet"/>
      </w:pPr>
      <w:r>
        <w:t>Add LTV and CAC if reliable cost data is available.</w:t>
      </w:r>
    </w:p>
    <w:p>
      <w:pPr>
        <w:pStyle w:val="ListBullet"/>
      </w:pPr>
      <w:r>
        <w:t>Add user segmentation based on engagement frequency and session behavior.</w:t>
      </w:r>
    </w:p>
    <w:p>
      <w:pPr>
        <w:pStyle w:val="ListBullet"/>
      </w:pPr>
      <w:r>
        <w:t>Add anomaly detection for MRR or MAU changes.</w:t>
      </w:r>
    </w:p>
    <w:p>
      <w:pPr>
        <w:pStyle w:val="ListBullet"/>
      </w:pPr>
      <w:r>
        <w:t>Add drill-through from channel/cohort into user-level detail.</w:t>
      </w:r>
    </w:p>
    <w:p>
      <w:pPr>
        <w:pStyle w:val="Heading1"/>
      </w:pPr>
      <w:r>
        <w:t>14. Project Deliverables</w:t>
      </w:r>
    </w:p>
    <w:p>
      <w:pPr>
        <w:pStyle w:val="ListBullet"/>
      </w:pPr>
      <w:r>
        <w:t>Power BI dashboard: PULSE Analytics — SaaS Product Analytics &amp; User Behavior</w:t>
      </w:r>
    </w:p>
    <w:p>
      <w:pPr>
        <w:pStyle w:val="ListBullet"/>
      </w:pPr>
      <w:r>
        <w:t>users.csv</w:t>
      </w:r>
    </w:p>
    <w:p>
      <w:pPr>
        <w:pStyle w:val="ListBullet"/>
      </w:pPr>
      <w:r>
        <w:t>subscriptions.csv</w:t>
      </w:r>
    </w:p>
    <w:p>
      <w:pPr>
        <w:pStyle w:val="ListBullet"/>
      </w:pPr>
      <w:r>
        <w:t>events.csv</w:t>
      </w:r>
    </w:p>
    <w:p>
      <w:pPr>
        <w:pStyle w:val="ListBullet"/>
      </w:pPr>
      <w:r>
        <w:t>user_360.csv</w:t>
      </w:r>
    </w:p>
    <w:p>
      <w:pPr>
        <w:pStyle w:val="ListBullet"/>
      </w:pPr>
      <w:r>
        <w:t>monthly_metrics.csv</w:t>
      </w:r>
    </w:p>
    <w:p>
      <w:pPr>
        <w:pStyle w:val="ListBullet"/>
      </w:pPr>
      <w:r>
        <w:t>funnel_metrics.csv</w:t>
      </w:r>
    </w:p>
    <w:p>
      <w:pPr>
        <w:pStyle w:val="ListBullet"/>
      </w:pPr>
      <w:r>
        <w:t>cohort_retention.csv</w:t>
      </w:r>
    </w:p>
    <w:p>
      <w:pPr>
        <w:pStyle w:val="ListBullet"/>
      </w:pPr>
      <w:r>
        <w:t>Python/Jupyter analysis notebooks</w:t>
      </w:r>
    </w:p>
    <w:p>
      <w:pPr>
        <w:pStyle w:val="ListBullet"/>
      </w:pPr>
      <w:r>
        <w:t>This documentation</w:t>
      </w:r>
    </w:p>
    <w:p>
      <w:pPr>
        <w:pStyle w:val="Heading1"/>
      </w:pPr>
      <w:r>
        <w:t>Appendix — Final KPI Snapshot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2A"/>
          </w:tcPr>
          <w:p>
            <w:r>
              <w:rPr>
                <w:rFonts w:ascii="Aptos" w:hAnsi="Aptos"/>
                <w:b/>
                <w:color w:val="FFFFFF"/>
                <w:sz w:val="18"/>
              </w:rPr>
              <w:t>KPI</w:t>
            </w:r>
          </w:p>
        </w:tc>
        <w:tc>
          <w:tcPr>
            <w:tcW w:type="dxa" w:w="3360"/>
            <w:shd w:fill="17202A"/>
          </w:tcPr>
          <w:p>
            <w:r>
              <w:rPr>
                <w:rFonts w:ascii="Aptos" w:hAnsi="Aptos"/>
                <w:b/>
                <w:color w:val="FFFFFF"/>
                <w:sz w:val="18"/>
              </w:rPr>
              <w:t>Value</w:t>
            </w:r>
          </w:p>
        </w:tc>
        <w:tc>
          <w:tcPr>
            <w:tcW w:type="dxa" w:w="3360"/>
            <w:shd w:fill="17202A"/>
          </w:tcPr>
          <w:p>
            <w:r>
              <w:rPr>
                <w:rFonts w:ascii="Aptos" w:hAnsi="Aptos"/>
                <w:b/>
                <w:color w:val="FFFFFF"/>
                <w:sz w:val="18"/>
              </w:rPr>
              <w:t>Notes</w:t>
            </w:r>
          </w:p>
        </w:tc>
      </w:tr>
      <w:tr>
        <w:tc>
          <w:tcPr>
            <w:tcW w:type="dxa" w:w="3360"/>
          </w:tcPr>
          <w:p>
            <w:r>
              <w:rPr>
                <w:rFonts w:ascii="Aptos" w:hAnsi="Aptos"/>
                <w:b w:val="0"/>
                <w:color w:val="17202A"/>
                <w:sz w:val="18"/>
              </w:rPr>
              <w:t>MAU</w:t>
            </w:r>
          </w:p>
        </w:tc>
        <w:tc>
          <w:tcPr>
            <w:tcW w:type="dxa" w:w="3360"/>
          </w:tcPr>
          <w:p>
            <w:r>
              <w:rPr>
                <w:rFonts w:ascii="Aptos" w:hAnsi="Aptos"/>
                <w:b w:val="0"/>
                <w:color w:val="17202A"/>
                <w:sz w:val="18"/>
              </w:rPr>
              <w:t>2,000</w:t>
            </w:r>
          </w:p>
        </w:tc>
        <w:tc>
          <w:tcPr>
            <w:tcW w:type="dxa" w:w="3360"/>
          </w:tcPr>
          <w:p>
            <w:r>
              <w:rPr>
                <w:rFonts w:ascii="Aptos" w:hAnsi="Aptos"/>
                <w:b w:val="0"/>
                <w:color w:val="17202A"/>
                <w:sz w:val="18"/>
              </w:rPr>
              <w:t>Overall distinct event users</w:t>
            </w:r>
          </w:p>
        </w:tc>
      </w:tr>
      <w:tr>
        <w:tc>
          <w:tcPr>
            <w:tcW w:type="dxa" w:w="3360"/>
          </w:tcPr>
          <w:p>
            <w:r>
              <w:rPr>
                <w:rFonts w:ascii="Aptos" w:hAnsi="Aptos"/>
                <w:b w:val="0"/>
                <w:color w:val="17202A"/>
                <w:sz w:val="18"/>
              </w:rPr>
              <w:t>MRR</w:t>
            </w:r>
          </w:p>
        </w:tc>
        <w:tc>
          <w:tcPr>
            <w:tcW w:type="dxa" w:w="3360"/>
          </w:tcPr>
          <w:p>
            <w:r>
              <w:rPr>
                <w:rFonts w:ascii="Aptos" w:hAnsi="Aptos"/>
                <w:b w:val="0"/>
                <w:color w:val="17202A"/>
                <w:sz w:val="18"/>
              </w:rPr>
              <w:t>≈ ₹2M</w:t>
            </w:r>
          </w:p>
        </w:tc>
        <w:tc>
          <w:tcPr>
            <w:tcW w:type="dxa" w:w="3360"/>
          </w:tcPr>
          <w:p>
            <w:r>
              <w:rPr>
                <w:rFonts w:ascii="Aptos" w:hAnsi="Aptos"/>
                <w:b w:val="0"/>
                <w:color w:val="17202A"/>
                <w:sz w:val="18"/>
              </w:rPr>
              <w:t>Latest monthly snapshot</w:t>
            </w:r>
          </w:p>
        </w:tc>
      </w:tr>
      <w:tr>
        <w:tc>
          <w:tcPr>
            <w:tcW w:type="dxa" w:w="3360"/>
          </w:tcPr>
          <w:p>
            <w:r>
              <w:rPr>
                <w:rFonts w:ascii="Aptos" w:hAnsi="Aptos"/>
                <w:b w:val="0"/>
                <w:color w:val="17202A"/>
                <w:sz w:val="18"/>
              </w:rPr>
              <w:t>ARPU</w:t>
            </w:r>
          </w:p>
        </w:tc>
        <w:tc>
          <w:tcPr>
            <w:tcW w:type="dxa" w:w="3360"/>
          </w:tcPr>
          <w:p>
            <w:r>
              <w:rPr>
                <w:rFonts w:ascii="Aptos" w:hAnsi="Aptos"/>
                <w:b w:val="0"/>
                <w:color w:val="17202A"/>
                <w:sz w:val="18"/>
              </w:rPr>
              <w:t>≈ ₹3,274</w:t>
            </w:r>
          </w:p>
        </w:tc>
        <w:tc>
          <w:tcPr>
            <w:tcW w:type="dxa" w:w="3360"/>
          </w:tcPr>
          <w:p>
            <w:r>
              <w:rPr>
                <w:rFonts w:ascii="Aptos" w:hAnsi="Aptos"/>
                <w:b w:val="0"/>
                <w:color w:val="17202A"/>
                <w:sz w:val="18"/>
              </w:rPr>
              <w:t>Latest monthly snapshot</w:t>
            </w:r>
          </w:p>
        </w:tc>
      </w:tr>
      <w:tr>
        <w:tc>
          <w:tcPr>
            <w:tcW w:type="dxa" w:w="3360"/>
          </w:tcPr>
          <w:p>
            <w:r>
              <w:rPr>
                <w:rFonts w:ascii="Aptos" w:hAnsi="Aptos"/>
                <w:b w:val="0"/>
                <w:color w:val="17202A"/>
                <w:sz w:val="18"/>
              </w:rPr>
              <w:t>Churn Rate</w:t>
            </w:r>
          </w:p>
        </w:tc>
        <w:tc>
          <w:tcPr>
            <w:tcW w:type="dxa" w:w="3360"/>
          </w:tcPr>
          <w:p>
            <w:r>
              <w:rPr>
                <w:rFonts w:ascii="Aptos" w:hAnsi="Aptos"/>
                <w:b w:val="0"/>
                <w:color w:val="17202A"/>
                <w:sz w:val="18"/>
              </w:rPr>
              <w:t>28.8%</w:t>
            </w:r>
          </w:p>
        </w:tc>
        <w:tc>
          <w:tcPr>
            <w:tcW w:type="dxa" w:w="3360"/>
          </w:tcPr>
          <w:p>
            <w:r>
              <w:rPr>
                <w:rFonts w:ascii="Aptos" w:hAnsi="Aptos"/>
                <w:b w:val="0"/>
                <w:color w:val="17202A"/>
                <w:sz w:val="18"/>
              </w:rPr>
              <w:t>Overall user-level KPI</w:t>
            </w:r>
          </w:p>
        </w:tc>
      </w:tr>
      <w:tr>
        <w:tc>
          <w:tcPr>
            <w:tcW w:type="dxa" w:w="3360"/>
          </w:tcPr>
          <w:p>
            <w:r>
              <w:rPr>
                <w:rFonts w:ascii="Aptos" w:hAnsi="Aptos"/>
                <w:b w:val="0"/>
                <w:color w:val="17202A"/>
                <w:sz w:val="18"/>
              </w:rPr>
              <w:t>Paid Users</w:t>
            </w:r>
          </w:p>
        </w:tc>
        <w:tc>
          <w:tcPr>
            <w:tcW w:type="dxa" w:w="3360"/>
          </w:tcPr>
          <w:p>
            <w:r>
              <w:rPr>
                <w:rFonts w:ascii="Aptos" w:hAnsi="Aptos"/>
                <w:b w:val="0"/>
                <w:color w:val="17202A"/>
                <w:sz w:val="18"/>
              </w:rPr>
              <w:t>988</w:t>
            </w:r>
          </w:p>
        </w:tc>
        <w:tc>
          <w:tcPr>
            <w:tcW w:type="dxa" w:w="3360"/>
          </w:tcPr>
          <w:p>
            <w:r>
              <w:rPr>
                <w:rFonts w:ascii="Aptos" w:hAnsi="Aptos"/>
                <w:b w:val="0"/>
                <w:color w:val="17202A"/>
                <w:sz w:val="18"/>
              </w:rPr>
              <w:t>Paid subscription users</w:t>
            </w:r>
          </w:p>
        </w:tc>
      </w:tr>
      <w:tr>
        <w:tc>
          <w:tcPr>
            <w:tcW w:type="dxa" w:w="3360"/>
          </w:tcPr>
          <w:p>
            <w:r>
              <w:rPr>
                <w:rFonts w:ascii="Aptos" w:hAnsi="Aptos"/>
                <w:b w:val="0"/>
                <w:color w:val="17202A"/>
                <w:sz w:val="18"/>
              </w:rPr>
              <w:t>Active Subscribers</w:t>
            </w:r>
          </w:p>
        </w:tc>
        <w:tc>
          <w:tcPr>
            <w:tcW w:type="dxa" w:w="3360"/>
          </w:tcPr>
          <w:p>
            <w:r>
              <w:rPr>
                <w:rFonts w:ascii="Aptos" w:hAnsi="Aptos"/>
                <w:b w:val="0"/>
                <w:color w:val="17202A"/>
                <w:sz w:val="18"/>
              </w:rPr>
              <w:t>1,429</w:t>
            </w:r>
          </w:p>
        </w:tc>
        <w:tc>
          <w:tcPr>
            <w:tcW w:type="dxa" w:w="3360"/>
          </w:tcPr>
          <w:p>
            <w:r>
              <w:rPr>
                <w:rFonts w:ascii="Aptos" w:hAnsi="Aptos"/>
                <w:b w:val="0"/>
                <w:color w:val="17202A"/>
                <w:sz w:val="18"/>
              </w:rPr>
              <w:t>Latest monthly snapshot</w:t>
            </w:r>
          </w:p>
        </w:tc>
      </w:tr>
      <w:tr>
        <w:tc>
          <w:tcPr>
            <w:tcW w:type="dxa" w:w="3360"/>
          </w:tcPr>
          <w:p>
            <w:r>
              <w:rPr>
                <w:rFonts w:ascii="Aptos" w:hAnsi="Aptos"/>
                <w:b w:val="0"/>
                <w:color w:val="17202A"/>
                <w:sz w:val="18"/>
              </w:rPr>
              <w:t>Paid Conversion</w:t>
            </w:r>
          </w:p>
        </w:tc>
        <w:tc>
          <w:tcPr>
            <w:tcW w:type="dxa" w:w="3360"/>
          </w:tcPr>
          <w:p>
            <w:r>
              <w:rPr>
                <w:rFonts w:ascii="Aptos" w:hAnsi="Aptos"/>
                <w:b w:val="0"/>
                <w:color w:val="17202A"/>
                <w:sz w:val="18"/>
              </w:rPr>
              <w:t>49.4%</w:t>
            </w:r>
          </w:p>
        </w:tc>
        <w:tc>
          <w:tcPr>
            <w:tcW w:type="dxa" w:w="3360"/>
          </w:tcPr>
          <w:p>
            <w:r>
              <w:rPr>
                <w:rFonts w:ascii="Aptos" w:hAnsi="Aptos"/>
                <w:b w:val="0"/>
                <w:color w:val="17202A"/>
                <w:sz w:val="18"/>
              </w:rPr>
              <w:t>Paid users / total users</w:t>
            </w:r>
          </w:p>
        </w:tc>
      </w:tr>
      <w:tr>
        <w:tc>
          <w:tcPr>
            <w:tcW w:type="dxa" w:w="3360"/>
          </w:tcPr>
          <w:p>
            <w:r>
              <w:rPr>
                <w:rFonts w:ascii="Aptos" w:hAnsi="Aptos"/>
                <w:b w:val="0"/>
                <w:color w:val="17202A"/>
                <w:sz w:val="18"/>
              </w:rPr>
              <w:t>Avg Session Duration</w:t>
            </w:r>
          </w:p>
        </w:tc>
        <w:tc>
          <w:tcPr>
            <w:tcW w:type="dxa" w:w="3360"/>
          </w:tcPr>
          <w:p>
            <w:r>
              <w:rPr>
                <w:rFonts w:ascii="Aptos" w:hAnsi="Aptos"/>
                <w:b w:val="0"/>
                <w:color w:val="17202A"/>
                <w:sz w:val="18"/>
              </w:rPr>
              <w:t>15.5 min</w:t>
            </w:r>
          </w:p>
        </w:tc>
        <w:tc>
          <w:tcPr>
            <w:tcW w:type="dxa" w:w="3360"/>
          </w:tcPr>
          <w:p>
            <w:r>
              <w:rPr>
                <w:rFonts w:ascii="Aptos" w:hAnsi="Aptos"/>
                <w:b w:val="0"/>
                <w:color w:val="17202A"/>
                <w:sz w:val="18"/>
              </w:rPr>
              <w:t>Average event session duration</w:t>
            </w:r>
          </w:p>
        </w:tc>
      </w:tr>
      <w:tr>
        <w:tc>
          <w:tcPr>
            <w:tcW w:type="dxa" w:w="3360"/>
          </w:tcPr>
          <w:p>
            <w:r>
              <w:rPr>
                <w:rFonts w:ascii="Aptos" w:hAnsi="Aptos"/>
                <w:b w:val="0"/>
                <w:color w:val="17202A"/>
                <w:sz w:val="18"/>
              </w:rPr>
              <w:t>Total Events</w:t>
            </w:r>
          </w:p>
        </w:tc>
        <w:tc>
          <w:tcPr>
            <w:tcW w:type="dxa" w:w="3360"/>
          </w:tcPr>
          <w:p>
            <w:r>
              <w:rPr>
                <w:rFonts w:ascii="Aptos" w:hAnsi="Aptos"/>
                <w:b w:val="0"/>
                <w:color w:val="17202A"/>
                <w:sz w:val="18"/>
              </w:rPr>
              <w:t>33,987</w:t>
            </w:r>
          </w:p>
        </w:tc>
        <w:tc>
          <w:tcPr>
            <w:tcW w:type="dxa" w:w="3360"/>
          </w:tcPr>
          <w:p>
            <w:r>
              <w:rPr>
                <w:rFonts w:ascii="Aptos" w:hAnsi="Aptos"/>
                <w:b w:val="0"/>
                <w:color w:val="17202A"/>
                <w:sz w:val="18"/>
              </w:rPr>
              <w:t>Source event records</w:t>
            </w:r>
          </w:p>
        </w:tc>
      </w:tr>
    </w:tbl>
    <w:p/>
    <w:p>
      <w:pPr>
        <w:jc w:val="center"/>
      </w:pPr>
      <w:r>
        <w:rPr>
          <w:b/>
          <w:color w:val="14B8A6"/>
          <w:sz w:val="28"/>
        </w:rPr>
        <w:t>STATUS: COMPLETE</w:t>
      </w:r>
    </w:p>
    <w:p>
      <w:pPr>
        <w:jc w:val="center"/>
      </w:pPr>
      <w:r>
        <w:rPr>
          <w:color w:val="475569"/>
          <w:sz w:val="16"/>
        </w:rPr>
        <w:t>PULSE ANALYTICS • SaaS Product Analytics &amp; User Behavior Dashboard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02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20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20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