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81EA" w14:textId="0716564A" w:rsidR="00E5157A" w:rsidRDefault="00E5157A">
      <w:r>
        <w:t xml:space="preserve">Economic datasets come from the Local Area Unemployment Statistics and Quarterly Census of Employment and Wages sections from the United States Bureau of Labor Statistics.  Both datasets were provided in an excel format.  The datasets were imported via pandas for inspection, exported to csv and added to a </w:t>
      </w:r>
      <w:proofErr w:type="spellStart"/>
      <w:r>
        <w:t>postgres</w:t>
      </w:r>
      <w:proofErr w:type="spellEnd"/>
      <w:r>
        <w:t xml:space="preserve"> database.</w:t>
      </w:r>
    </w:p>
    <w:p w14:paraId="0BD7AA3B" w14:textId="0C948261" w:rsidR="00E5157A" w:rsidRDefault="00E5157A"/>
    <w:sectPr w:rsidR="00E5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7A"/>
    <w:rsid w:val="008A1C0D"/>
    <w:rsid w:val="00E5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8BDA"/>
  <w15:chartTrackingRefBased/>
  <w15:docId w15:val="{CCE39A64-456E-41FD-92DE-96130AC4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2020-06-15T23:13:00Z</dcterms:created>
  <dcterms:modified xsi:type="dcterms:W3CDTF">2020-06-15T23:36:00Z</dcterms:modified>
</cp:coreProperties>
</file>