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of Directors Quarterly Performance Targets</w:t>
      </w:r>
    </w:p>
    <w:p>
      <w:pPr>
        <w:pStyle w:val="Subtitle"/>
      </w:pPr>
      <w:r>
        <w:t>Fiscal Year Performance Target Documentation</w:t>
      </w:r>
    </w:p>
    <w:p>
      <w:pPr>
        <w:pStyle w:val="Heading2"/>
      </w:pPr>
      <w:r>
        <w:t>Section: Target Baselines</w:t>
      </w:r>
    </w:p>
    <w:p>
      <w:r>
        <w:t>In Q2, the Board established an operational profit threshold of ₹150,000 on revenue of ₹1,000,000. The Q3 expectation anticipated a manageable revenue dip to ₹950,000 with disciplined COGS of ₹590,000.</w:t>
      </w:r>
    </w:p>
    <w:p>
      <w:pPr>
        <w:pStyle w:val="Heading2"/>
      </w:pPr>
      <w:r>
        <w:t>Section: Qualitative Directives</w:t>
      </w:r>
    </w:p>
    <w:p>
      <w:r>
        <w:t>Procurement contracts renegotiated in Q2 successfully enabled lower cost of goods sold in Q3. However, executive approval was granted for an aggressive marketing expansion to defend market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