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BD1" w:rsidRPr="00F41BAF" w:rsidRDefault="00862BD1" w:rsidP="00F41BAF">
      <w:pPr>
        <w:jc w:val="center"/>
        <w:rPr>
          <w:rFonts w:ascii="Times New Roman" w:hAnsi="Times New Roman" w:cs="Times New Roman"/>
          <w:b/>
          <w:sz w:val="30"/>
          <w:szCs w:val="30"/>
          <w:lang w:val="en-US"/>
        </w:rPr>
      </w:pPr>
      <w:r w:rsidRPr="00F41BAF">
        <w:rPr>
          <w:rFonts w:ascii="Times New Roman" w:hAnsi="Times New Roman" w:cs="Times New Roman"/>
          <w:b/>
          <w:sz w:val="30"/>
          <w:szCs w:val="30"/>
          <w:lang w:val="en-US"/>
        </w:rPr>
        <w:t>A N</w:t>
      </w:r>
      <w:r w:rsidR="00006288">
        <w:rPr>
          <w:rFonts w:ascii="Times New Roman" w:hAnsi="Times New Roman" w:cs="Times New Roman"/>
          <w:b/>
          <w:sz w:val="30"/>
          <w:szCs w:val="30"/>
          <w:lang w:val="en-US"/>
        </w:rPr>
        <w:t>ew</w:t>
      </w:r>
      <w:r w:rsidRPr="00F41BAF">
        <w:rPr>
          <w:rFonts w:ascii="Times New Roman" w:hAnsi="Times New Roman" w:cs="Times New Roman"/>
          <w:b/>
          <w:sz w:val="30"/>
          <w:szCs w:val="30"/>
          <w:lang w:val="en-US"/>
        </w:rPr>
        <w:t xml:space="preserve"> S</w:t>
      </w:r>
      <w:r w:rsidR="00006288">
        <w:rPr>
          <w:rFonts w:ascii="Times New Roman" w:hAnsi="Times New Roman" w:cs="Times New Roman"/>
          <w:b/>
          <w:sz w:val="30"/>
          <w:szCs w:val="30"/>
          <w:lang w:val="en-US"/>
        </w:rPr>
        <w:t xml:space="preserve">ynthetic </w:t>
      </w:r>
      <w:r w:rsidRPr="00F41BAF">
        <w:rPr>
          <w:rFonts w:ascii="Times New Roman" w:hAnsi="Times New Roman" w:cs="Times New Roman"/>
          <w:b/>
          <w:sz w:val="30"/>
          <w:szCs w:val="30"/>
          <w:lang w:val="en-US"/>
        </w:rPr>
        <w:t>E</w:t>
      </w:r>
      <w:r w:rsidR="00006288">
        <w:rPr>
          <w:rFonts w:ascii="Times New Roman" w:hAnsi="Times New Roman" w:cs="Times New Roman"/>
          <w:b/>
          <w:sz w:val="30"/>
          <w:szCs w:val="30"/>
          <w:lang w:val="en-US"/>
        </w:rPr>
        <w:t>ndocannabinoid</w:t>
      </w:r>
      <w:r w:rsidRPr="00F41BAF">
        <w:rPr>
          <w:rFonts w:ascii="Times New Roman" w:hAnsi="Times New Roman" w:cs="Times New Roman"/>
          <w:b/>
          <w:sz w:val="30"/>
          <w:szCs w:val="30"/>
          <w:lang w:val="en-US"/>
        </w:rPr>
        <w:t xml:space="preserve"> </w:t>
      </w:r>
      <w:r w:rsidR="00502529">
        <w:rPr>
          <w:rFonts w:ascii="Times New Roman" w:hAnsi="Times New Roman" w:cs="Times New Roman"/>
          <w:b/>
          <w:sz w:val="30"/>
          <w:szCs w:val="30"/>
          <w:lang w:val="en-US"/>
        </w:rPr>
        <w:t>a</w:t>
      </w:r>
      <w:r w:rsidR="00006288">
        <w:rPr>
          <w:rFonts w:ascii="Times New Roman" w:hAnsi="Times New Roman" w:cs="Times New Roman"/>
          <w:b/>
          <w:sz w:val="30"/>
          <w:szCs w:val="30"/>
          <w:lang w:val="en-US"/>
        </w:rPr>
        <w:t>s</w:t>
      </w:r>
      <w:r w:rsidRPr="00F41BAF">
        <w:rPr>
          <w:rFonts w:ascii="Times New Roman" w:hAnsi="Times New Roman" w:cs="Times New Roman"/>
          <w:b/>
          <w:sz w:val="30"/>
          <w:szCs w:val="30"/>
          <w:lang w:val="en-US"/>
        </w:rPr>
        <w:t xml:space="preserve"> A</w:t>
      </w:r>
      <w:r w:rsidR="00006288">
        <w:rPr>
          <w:rFonts w:ascii="Times New Roman" w:hAnsi="Times New Roman" w:cs="Times New Roman"/>
          <w:b/>
          <w:sz w:val="30"/>
          <w:szCs w:val="30"/>
          <w:lang w:val="en-US"/>
        </w:rPr>
        <w:t>nti-</w:t>
      </w:r>
      <w:proofErr w:type="spellStart"/>
      <w:r w:rsidR="007E646A">
        <w:rPr>
          <w:rFonts w:ascii="Times New Roman" w:hAnsi="Times New Roman" w:cs="Times New Roman"/>
          <w:b/>
          <w:sz w:val="30"/>
          <w:szCs w:val="30"/>
          <w:lang w:val="en-US"/>
        </w:rPr>
        <w:t>I</w:t>
      </w:r>
      <w:r w:rsidR="00006288">
        <w:rPr>
          <w:rFonts w:ascii="Times New Roman" w:hAnsi="Times New Roman" w:cs="Times New Roman"/>
          <w:b/>
          <w:sz w:val="30"/>
          <w:szCs w:val="30"/>
          <w:lang w:val="en-US"/>
        </w:rPr>
        <w:t>nflammaging</w:t>
      </w:r>
      <w:proofErr w:type="spellEnd"/>
      <w:r w:rsidR="00006288">
        <w:rPr>
          <w:rFonts w:ascii="Times New Roman" w:hAnsi="Times New Roman" w:cs="Times New Roman"/>
          <w:b/>
          <w:sz w:val="30"/>
          <w:szCs w:val="30"/>
          <w:lang w:val="en-US"/>
        </w:rPr>
        <w:t xml:space="preserve"> </w:t>
      </w:r>
      <w:r w:rsidRPr="00F41BAF">
        <w:rPr>
          <w:rFonts w:ascii="Times New Roman" w:hAnsi="Times New Roman" w:cs="Times New Roman"/>
          <w:b/>
          <w:sz w:val="30"/>
          <w:szCs w:val="30"/>
          <w:lang w:val="en-US"/>
        </w:rPr>
        <w:t>C</w:t>
      </w:r>
      <w:r w:rsidR="00006288">
        <w:rPr>
          <w:rFonts w:ascii="Times New Roman" w:hAnsi="Times New Roman" w:cs="Times New Roman"/>
          <w:b/>
          <w:sz w:val="30"/>
          <w:szCs w:val="30"/>
          <w:lang w:val="en-US"/>
        </w:rPr>
        <w:t>osmetic</w:t>
      </w:r>
      <w:r w:rsidRPr="00F41BAF">
        <w:rPr>
          <w:rFonts w:ascii="Times New Roman" w:hAnsi="Times New Roman" w:cs="Times New Roman"/>
          <w:b/>
          <w:sz w:val="30"/>
          <w:szCs w:val="30"/>
          <w:lang w:val="en-US"/>
        </w:rPr>
        <w:t xml:space="preserve"> A</w:t>
      </w:r>
      <w:r w:rsidR="00006288">
        <w:rPr>
          <w:rFonts w:ascii="Times New Roman" w:hAnsi="Times New Roman" w:cs="Times New Roman"/>
          <w:b/>
          <w:sz w:val="30"/>
          <w:szCs w:val="30"/>
          <w:lang w:val="en-US"/>
        </w:rPr>
        <w:t>ctive</w:t>
      </w:r>
      <w:r w:rsidRPr="00F41BAF">
        <w:rPr>
          <w:rFonts w:ascii="Times New Roman" w:hAnsi="Times New Roman" w:cs="Times New Roman"/>
          <w:b/>
          <w:sz w:val="30"/>
          <w:szCs w:val="30"/>
          <w:lang w:val="en-US"/>
        </w:rPr>
        <w:t xml:space="preserve">: </w:t>
      </w:r>
      <w:proofErr w:type="gramStart"/>
      <w:r w:rsidR="00225D19">
        <w:rPr>
          <w:rFonts w:ascii="Times New Roman" w:hAnsi="Times New Roman" w:cs="Times New Roman"/>
          <w:b/>
          <w:sz w:val="30"/>
          <w:szCs w:val="30"/>
          <w:lang w:val="en-US"/>
        </w:rPr>
        <w:t>a</w:t>
      </w:r>
      <w:r w:rsidR="00006288">
        <w:rPr>
          <w:rFonts w:ascii="Times New Roman" w:hAnsi="Times New Roman" w:cs="Times New Roman"/>
          <w:b/>
          <w:sz w:val="30"/>
          <w:szCs w:val="30"/>
          <w:lang w:val="en-US"/>
        </w:rPr>
        <w:t>n</w:t>
      </w:r>
      <w:proofErr w:type="gramEnd"/>
      <w:r w:rsidRPr="00F41BAF">
        <w:rPr>
          <w:rFonts w:ascii="Times New Roman" w:hAnsi="Times New Roman" w:cs="Times New Roman"/>
          <w:b/>
          <w:sz w:val="30"/>
          <w:szCs w:val="30"/>
          <w:lang w:val="en-US"/>
        </w:rPr>
        <w:t xml:space="preserve"> </w:t>
      </w:r>
      <w:r w:rsidRPr="002227A6">
        <w:rPr>
          <w:rFonts w:ascii="Times New Roman" w:hAnsi="Times New Roman" w:cs="Times New Roman"/>
          <w:b/>
          <w:i/>
          <w:sz w:val="30"/>
          <w:szCs w:val="30"/>
          <w:lang w:val="en-US"/>
        </w:rPr>
        <w:t>I</w:t>
      </w:r>
      <w:r w:rsidR="00006288" w:rsidRPr="002227A6">
        <w:rPr>
          <w:rFonts w:ascii="Times New Roman" w:hAnsi="Times New Roman" w:cs="Times New Roman"/>
          <w:b/>
          <w:i/>
          <w:sz w:val="30"/>
          <w:szCs w:val="30"/>
          <w:lang w:val="en-US"/>
        </w:rPr>
        <w:t>n</w:t>
      </w:r>
      <w:r w:rsidRPr="002227A6">
        <w:rPr>
          <w:rFonts w:ascii="Times New Roman" w:hAnsi="Times New Roman" w:cs="Times New Roman"/>
          <w:b/>
          <w:i/>
          <w:sz w:val="30"/>
          <w:szCs w:val="30"/>
          <w:lang w:val="en-US"/>
        </w:rPr>
        <w:t xml:space="preserve"> V</w:t>
      </w:r>
      <w:r w:rsidR="00006288" w:rsidRPr="002227A6">
        <w:rPr>
          <w:rFonts w:ascii="Times New Roman" w:hAnsi="Times New Roman" w:cs="Times New Roman"/>
          <w:b/>
          <w:i/>
          <w:sz w:val="30"/>
          <w:szCs w:val="30"/>
          <w:lang w:val="en-US"/>
        </w:rPr>
        <w:t>itro</w:t>
      </w:r>
      <w:r w:rsidRPr="002227A6">
        <w:rPr>
          <w:rFonts w:ascii="Times New Roman" w:hAnsi="Times New Roman" w:cs="Times New Roman"/>
          <w:b/>
          <w:i/>
          <w:sz w:val="30"/>
          <w:szCs w:val="30"/>
          <w:lang w:val="en-US"/>
        </w:rPr>
        <w:t xml:space="preserve"> </w:t>
      </w:r>
      <w:r w:rsidRPr="00F41BAF">
        <w:rPr>
          <w:rFonts w:ascii="Times New Roman" w:hAnsi="Times New Roman" w:cs="Times New Roman"/>
          <w:b/>
          <w:sz w:val="30"/>
          <w:szCs w:val="30"/>
          <w:lang w:val="en-US"/>
        </w:rPr>
        <w:t>S</w:t>
      </w:r>
      <w:r w:rsidR="00006288">
        <w:rPr>
          <w:rFonts w:ascii="Times New Roman" w:hAnsi="Times New Roman" w:cs="Times New Roman"/>
          <w:b/>
          <w:sz w:val="30"/>
          <w:szCs w:val="30"/>
          <w:lang w:val="en-US"/>
        </w:rPr>
        <w:t>tudy</w:t>
      </w:r>
      <w:r w:rsidRPr="00F41BAF">
        <w:rPr>
          <w:rFonts w:ascii="Times New Roman" w:hAnsi="Times New Roman" w:cs="Times New Roman"/>
          <w:b/>
          <w:sz w:val="30"/>
          <w:szCs w:val="30"/>
          <w:lang w:val="en-US"/>
        </w:rPr>
        <w:t xml:space="preserve"> </w:t>
      </w:r>
      <w:r w:rsidR="00502529">
        <w:rPr>
          <w:rFonts w:ascii="Times New Roman" w:hAnsi="Times New Roman" w:cs="Times New Roman"/>
          <w:b/>
          <w:sz w:val="30"/>
          <w:szCs w:val="30"/>
          <w:lang w:val="en-US"/>
        </w:rPr>
        <w:t>o</w:t>
      </w:r>
      <w:r w:rsidR="00006288">
        <w:rPr>
          <w:rFonts w:ascii="Times New Roman" w:hAnsi="Times New Roman" w:cs="Times New Roman"/>
          <w:b/>
          <w:sz w:val="30"/>
          <w:szCs w:val="30"/>
          <w:lang w:val="en-US"/>
        </w:rPr>
        <w:t>n</w:t>
      </w:r>
      <w:r w:rsidRPr="00F41BAF">
        <w:rPr>
          <w:rFonts w:ascii="Times New Roman" w:hAnsi="Times New Roman" w:cs="Times New Roman"/>
          <w:b/>
          <w:sz w:val="30"/>
          <w:szCs w:val="30"/>
          <w:lang w:val="en-US"/>
        </w:rPr>
        <w:t xml:space="preserve"> </w:t>
      </w:r>
      <w:r w:rsidR="00502529">
        <w:rPr>
          <w:rFonts w:ascii="Times New Roman" w:hAnsi="Times New Roman" w:cs="Times New Roman"/>
          <w:b/>
          <w:sz w:val="30"/>
          <w:szCs w:val="30"/>
          <w:lang w:val="en-US"/>
        </w:rPr>
        <w:t>a</w:t>
      </w:r>
      <w:r w:rsidRPr="00F41BAF">
        <w:rPr>
          <w:rFonts w:ascii="Times New Roman" w:hAnsi="Times New Roman" w:cs="Times New Roman"/>
          <w:b/>
          <w:sz w:val="30"/>
          <w:szCs w:val="30"/>
          <w:lang w:val="en-US"/>
        </w:rPr>
        <w:t xml:space="preserve"> </w:t>
      </w:r>
      <w:r w:rsidR="00006288" w:rsidRPr="00F41BAF">
        <w:rPr>
          <w:rFonts w:ascii="Times New Roman" w:hAnsi="Times New Roman" w:cs="Times New Roman"/>
          <w:b/>
          <w:sz w:val="30"/>
          <w:szCs w:val="30"/>
          <w:lang w:val="en-US"/>
        </w:rPr>
        <w:t>R</w:t>
      </w:r>
      <w:r w:rsidR="00006288">
        <w:rPr>
          <w:rFonts w:ascii="Times New Roman" w:hAnsi="Times New Roman" w:cs="Times New Roman"/>
          <w:b/>
          <w:sz w:val="30"/>
          <w:szCs w:val="30"/>
          <w:lang w:val="en-US"/>
        </w:rPr>
        <w:t>econstructed</w:t>
      </w:r>
      <w:r w:rsidRPr="00F41BAF">
        <w:rPr>
          <w:rFonts w:ascii="Times New Roman" w:hAnsi="Times New Roman" w:cs="Times New Roman"/>
          <w:b/>
          <w:sz w:val="30"/>
          <w:szCs w:val="30"/>
          <w:lang w:val="en-US"/>
        </w:rPr>
        <w:t xml:space="preserve"> S</w:t>
      </w:r>
      <w:r w:rsidR="00006288">
        <w:rPr>
          <w:rFonts w:ascii="Times New Roman" w:hAnsi="Times New Roman" w:cs="Times New Roman"/>
          <w:b/>
          <w:sz w:val="30"/>
          <w:szCs w:val="30"/>
          <w:lang w:val="en-US"/>
        </w:rPr>
        <w:t>kin</w:t>
      </w:r>
      <w:r w:rsidRPr="00F41BAF">
        <w:rPr>
          <w:rFonts w:ascii="Times New Roman" w:hAnsi="Times New Roman" w:cs="Times New Roman"/>
          <w:b/>
          <w:sz w:val="30"/>
          <w:szCs w:val="30"/>
          <w:lang w:val="en-US"/>
        </w:rPr>
        <w:t xml:space="preserve"> M</w:t>
      </w:r>
      <w:r w:rsidR="00006288">
        <w:rPr>
          <w:rFonts w:ascii="Times New Roman" w:hAnsi="Times New Roman" w:cs="Times New Roman"/>
          <w:b/>
          <w:sz w:val="30"/>
          <w:szCs w:val="30"/>
          <w:lang w:val="en-US"/>
        </w:rPr>
        <w:t>odel</w:t>
      </w:r>
    </w:p>
    <w:p w:rsidR="00862BD1" w:rsidRPr="004734CC" w:rsidRDefault="00862BD1" w:rsidP="004734CC">
      <w:pPr>
        <w:jc w:val="both"/>
        <w:rPr>
          <w:rFonts w:ascii="Times New Roman" w:hAnsi="Times New Roman" w:cs="Times New Roman"/>
          <w:b/>
        </w:rPr>
      </w:pPr>
      <w:r w:rsidRPr="004734CC">
        <w:rPr>
          <w:rFonts w:ascii="Times New Roman" w:hAnsi="Times New Roman" w:cs="Times New Roman"/>
          <w:b/>
        </w:rPr>
        <w:t>Semenzato</w:t>
      </w:r>
      <w:r w:rsidR="004734CC">
        <w:rPr>
          <w:rFonts w:ascii="Times New Roman" w:hAnsi="Times New Roman" w:cs="Times New Roman"/>
          <w:b/>
        </w:rPr>
        <w:t xml:space="preserve"> A</w:t>
      </w:r>
      <w:r w:rsidRPr="00185DAA">
        <w:rPr>
          <w:rFonts w:ascii="Times New Roman" w:hAnsi="Times New Roman" w:cs="Times New Roman"/>
          <w:b/>
          <w:vertAlign w:val="superscript"/>
        </w:rPr>
        <w:t>1</w:t>
      </w:r>
      <w:r w:rsidRPr="004734CC">
        <w:rPr>
          <w:rFonts w:ascii="Times New Roman" w:hAnsi="Times New Roman" w:cs="Times New Roman"/>
          <w:b/>
        </w:rPr>
        <w:t>*, Meloni</w:t>
      </w:r>
      <w:r w:rsidR="004734CC">
        <w:rPr>
          <w:rFonts w:ascii="Times New Roman" w:hAnsi="Times New Roman" w:cs="Times New Roman"/>
          <w:b/>
        </w:rPr>
        <w:t xml:space="preserve"> M</w:t>
      </w:r>
      <w:r w:rsidRPr="006366F4">
        <w:rPr>
          <w:rFonts w:ascii="Times New Roman" w:hAnsi="Times New Roman" w:cs="Times New Roman"/>
          <w:b/>
          <w:vertAlign w:val="superscript"/>
        </w:rPr>
        <w:t>2</w:t>
      </w:r>
      <w:r w:rsidRPr="004734CC">
        <w:rPr>
          <w:rFonts w:ascii="Times New Roman" w:hAnsi="Times New Roman" w:cs="Times New Roman"/>
          <w:b/>
        </w:rPr>
        <w:t>, Caviola</w:t>
      </w:r>
      <w:r w:rsidR="004734CC">
        <w:rPr>
          <w:rFonts w:ascii="Times New Roman" w:hAnsi="Times New Roman" w:cs="Times New Roman"/>
          <w:b/>
        </w:rPr>
        <w:t xml:space="preserve"> E</w:t>
      </w:r>
      <w:r w:rsidRPr="006366F4">
        <w:rPr>
          <w:rFonts w:ascii="Times New Roman" w:hAnsi="Times New Roman" w:cs="Times New Roman"/>
          <w:b/>
          <w:vertAlign w:val="superscript"/>
        </w:rPr>
        <w:t>2</w:t>
      </w:r>
      <w:r w:rsidRPr="004734CC">
        <w:rPr>
          <w:rFonts w:ascii="Times New Roman" w:hAnsi="Times New Roman" w:cs="Times New Roman"/>
          <w:b/>
        </w:rPr>
        <w:t>, Galizia</w:t>
      </w:r>
      <w:r w:rsidR="004734CC">
        <w:rPr>
          <w:rFonts w:ascii="Times New Roman" w:hAnsi="Times New Roman" w:cs="Times New Roman"/>
          <w:b/>
        </w:rPr>
        <w:t xml:space="preserve"> G</w:t>
      </w:r>
      <w:r w:rsidRPr="006366F4">
        <w:rPr>
          <w:rFonts w:ascii="Times New Roman" w:hAnsi="Times New Roman" w:cs="Times New Roman"/>
          <w:b/>
          <w:vertAlign w:val="superscript"/>
        </w:rPr>
        <w:t>3</w:t>
      </w:r>
      <w:r w:rsidR="007F52BD">
        <w:rPr>
          <w:rFonts w:ascii="Times New Roman" w:hAnsi="Times New Roman" w:cs="Times New Roman"/>
          <w:b/>
        </w:rPr>
        <w:t xml:space="preserve"> and</w:t>
      </w:r>
      <w:r w:rsidRPr="004734CC">
        <w:rPr>
          <w:rFonts w:ascii="Times New Roman" w:hAnsi="Times New Roman" w:cs="Times New Roman"/>
          <w:b/>
        </w:rPr>
        <w:t xml:space="preserve"> Baratto</w:t>
      </w:r>
      <w:r w:rsidR="004734CC">
        <w:rPr>
          <w:rFonts w:ascii="Times New Roman" w:hAnsi="Times New Roman" w:cs="Times New Roman"/>
          <w:b/>
        </w:rPr>
        <w:t xml:space="preserve"> G</w:t>
      </w:r>
      <w:r w:rsidRPr="006366F4">
        <w:rPr>
          <w:rFonts w:ascii="Times New Roman" w:hAnsi="Times New Roman" w:cs="Times New Roman"/>
          <w:b/>
          <w:vertAlign w:val="superscript"/>
        </w:rPr>
        <w:t xml:space="preserve">4 </w:t>
      </w:r>
    </w:p>
    <w:p w:rsidR="00862BD1" w:rsidRPr="004734CC" w:rsidRDefault="00862BD1" w:rsidP="004734CC">
      <w:pPr>
        <w:jc w:val="both"/>
        <w:rPr>
          <w:rFonts w:ascii="Times New Roman" w:hAnsi="Times New Roman" w:cs="Times New Roman"/>
          <w:sz w:val="20"/>
          <w:szCs w:val="20"/>
          <w:lang w:val="en-US"/>
        </w:rPr>
      </w:pPr>
      <w:r w:rsidRPr="004734CC">
        <w:rPr>
          <w:rFonts w:ascii="Times New Roman" w:hAnsi="Times New Roman" w:cs="Times New Roman"/>
          <w:sz w:val="20"/>
          <w:szCs w:val="20"/>
          <w:lang w:val="en-US"/>
        </w:rPr>
        <w:t>1Department of Pharmaceutical and Pharmacological Sciences</w:t>
      </w:r>
      <w:r w:rsidR="00080A0F">
        <w:rPr>
          <w:rFonts w:ascii="Times New Roman" w:hAnsi="Times New Roman" w:cs="Times New Roman"/>
          <w:sz w:val="20"/>
          <w:szCs w:val="20"/>
          <w:lang w:val="en-US"/>
        </w:rPr>
        <w:t xml:space="preserve">, </w:t>
      </w:r>
      <w:r w:rsidRPr="004734CC">
        <w:rPr>
          <w:rFonts w:ascii="Times New Roman" w:hAnsi="Times New Roman" w:cs="Times New Roman"/>
          <w:sz w:val="20"/>
          <w:szCs w:val="20"/>
          <w:lang w:val="en-US"/>
        </w:rPr>
        <w:t>University of Padova</w:t>
      </w:r>
      <w:r w:rsidR="00080A0F">
        <w:rPr>
          <w:rFonts w:ascii="Times New Roman" w:hAnsi="Times New Roman" w:cs="Times New Roman"/>
          <w:sz w:val="20"/>
          <w:szCs w:val="20"/>
          <w:lang w:val="en-US"/>
        </w:rPr>
        <w:t>, Italy</w:t>
      </w:r>
      <w:r w:rsidR="00087319">
        <w:rPr>
          <w:rFonts w:ascii="Times New Roman" w:hAnsi="Times New Roman" w:cs="Times New Roman"/>
          <w:sz w:val="20"/>
          <w:szCs w:val="20"/>
          <w:lang w:val="en-US"/>
        </w:rPr>
        <w:t>.</w:t>
      </w:r>
      <w:r w:rsidR="00080A0F">
        <w:rPr>
          <w:rFonts w:ascii="Times New Roman" w:hAnsi="Times New Roman" w:cs="Times New Roman"/>
          <w:sz w:val="20"/>
          <w:szCs w:val="20"/>
          <w:lang w:val="en-US"/>
        </w:rPr>
        <w:t xml:space="preserve"> </w:t>
      </w:r>
      <w:proofErr w:type="spellStart"/>
      <w:proofErr w:type="gramStart"/>
      <w:r w:rsidR="00080A0F">
        <w:rPr>
          <w:rFonts w:ascii="Times New Roman" w:hAnsi="Times New Roman" w:cs="Times New Roman"/>
          <w:sz w:val="20"/>
          <w:szCs w:val="20"/>
          <w:lang w:val="en-US"/>
        </w:rPr>
        <w:t>email:alessandra.semenzato@unipd.it</w:t>
      </w:r>
      <w:proofErr w:type="spellEnd"/>
      <w:proofErr w:type="gramEnd"/>
      <w:r w:rsidRPr="004734CC">
        <w:rPr>
          <w:rFonts w:ascii="Times New Roman" w:hAnsi="Times New Roman" w:cs="Times New Roman"/>
          <w:sz w:val="20"/>
          <w:szCs w:val="20"/>
          <w:lang w:val="en-US"/>
        </w:rPr>
        <w:t xml:space="preserve"> </w:t>
      </w:r>
    </w:p>
    <w:p w:rsidR="00862BD1" w:rsidRPr="004734CC" w:rsidRDefault="00862BD1" w:rsidP="004734CC">
      <w:pPr>
        <w:jc w:val="both"/>
        <w:rPr>
          <w:rFonts w:ascii="Times New Roman" w:hAnsi="Times New Roman" w:cs="Times New Roman"/>
          <w:sz w:val="20"/>
          <w:szCs w:val="20"/>
          <w:lang w:val="en-US"/>
        </w:rPr>
      </w:pPr>
      <w:r w:rsidRPr="004734CC">
        <w:rPr>
          <w:rFonts w:ascii="Times New Roman" w:hAnsi="Times New Roman" w:cs="Times New Roman"/>
          <w:sz w:val="20"/>
          <w:szCs w:val="20"/>
          <w:lang w:val="en-US"/>
        </w:rPr>
        <w:t xml:space="preserve">2Vitroscreen </w:t>
      </w:r>
      <w:r w:rsidRPr="002B1C1A">
        <w:rPr>
          <w:rFonts w:ascii="Times New Roman" w:hAnsi="Times New Roman" w:cs="Times New Roman"/>
          <w:noProof/>
          <w:sz w:val="20"/>
          <w:szCs w:val="20"/>
          <w:lang w:val="en-US"/>
        </w:rPr>
        <w:t>srl</w:t>
      </w:r>
      <w:r w:rsidR="00080A0F">
        <w:rPr>
          <w:rFonts w:ascii="Times New Roman" w:hAnsi="Times New Roman" w:cs="Times New Roman"/>
          <w:sz w:val="20"/>
          <w:szCs w:val="20"/>
          <w:lang w:val="en-US"/>
        </w:rPr>
        <w:t>, Italy</w:t>
      </w:r>
      <w:r w:rsidR="00087319">
        <w:rPr>
          <w:rFonts w:ascii="Times New Roman" w:hAnsi="Times New Roman" w:cs="Times New Roman"/>
          <w:sz w:val="20"/>
          <w:szCs w:val="20"/>
          <w:lang w:val="en-US"/>
        </w:rPr>
        <w:t>.</w:t>
      </w:r>
      <w:r w:rsidR="00080A0F">
        <w:rPr>
          <w:rFonts w:ascii="Times New Roman" w:hAnsi="Times New Roman" w:cs="Times New Roman"/>
          <w:sz w:val="20"/>
          <w:szCs w:val="20"/>
          <w:lang w:val="en-US"/>
        </w:rPr>
        <w:t xml:space="preserve"> </w:t>
      </w:r>
      <w:proofErr w:type="gramStart"/>
      <w:r w:rsidR="00080A0F">
        <w:rPr>
          <w:rFonts w:ascii="Times New Roman" w:hAnsi="Times New Roman" w:cs="Times New Roman"/>
          <w:sz w:val="20"/>
          <w:szCs w:val="20"/>
          <w:lang w:val="en-US"/>
        </w:rPr>
        <w:t>email:</w:t>
      </w:r>
      <w:r w:rsidRPr="004734CC">
        <w:rPr>
          <w:rFonts w:ascii="Times New Roman" w:hAnsi="Times New Roman" w:cs="Times New Roman"/>
          <w:sz w:val="20"/>
          <w:szCs w:val="20"/>
          <w:lang w:val="en-US"/>
        </w:rPr>
        <w:t>marisa.meloni@vitroscreen.com</w:t>
      </w:r>
      <w:proofErr w:type="gramEnd"/>
      <w:r w:rsidRPr="004734CC">
        <w:rPr>
          <w:rFonts w:ascii="Times New Roman" w:hAnsi="Times New Roman" w:cs="Times New Roman"/>
          <w:sz w:val="20"/>
          <w:szCs w:val="20"/>
          <w:lang w:val="en-US"/>
        </w:rPr>
        <w:t xml:space="preserve"> </w:t>
      </w:r>
    </w:p>
    <w:p w:rsidR="00862BD1" w:rsidRPr="004734CC" w:rsidRDefault="00862BD1" w:rsidP="004734CC">
      <w:pPr>
        <w:jc w:val="both"/>
        <w:rPr>
          <w:rFonts w:ascii="Times New Roman" w:hAnsi="Times New Roman" w:cs="Times New Roman"/>
          <w:sz w:val="20"/>
          <w:szCs w:val="20"/>
          <w:lang w:val="en-US"/>
        </w:rPr>
      </w:pPr>
      <w:r w:rsidRPr="004734CC">
        <w:rPr>
          <w:rFonts w:ascii="Times New Roman" w:hAnsi="Times New Roman" w:cs="Times New Roman"/>
          <w:sz w:val="20"/>
          <w:szCs w:val="20"/>
          <w:lang w:val="en-US"/>
        </w:rPr>
        <w:t xml:space="preserve">3UniR&amp;D </w:t>
      </w:r>
      <w:r w:rsidRPr="002B1C1A">
        <w:rPr>
          <w:rFonts w:ascii="Times New Roman" w:hAnsi="Times New Roman" w:cs="Times New Roman"/>
          <w:noProof/>
          <w:sz w:val="20"/>
          <w:szCs w:val="20"/>
          <w:lang w:val="en-US"/>
        </w:rPr>
        <w:t>srl</w:t>
      </w:r>
      <w:r w:rsidR="00080A0F">
        <w:rPr>
          <w:rFonts w:ascii="Times New Roman" w:hAnsi="Times New Roman" w:cs="Times New Roman"/>
          <w:sz w:val="20"/>
          <w:szCs w:val="20"/>
          <w:lang w:val="en-US"/>
        </w:rPr>
        <w:t>, Italy</w:t>
      </w:r>
      <w:r w:rsidR="00087319">
        <w:rPr>
          <w:rFonts w:ascii="Times New Roman" w:hAnsi="Times New Roman" w:cs="Times New Roman"/>
          <w:sz w:val="20"/>
          <w:szCs w:val="20"/>
          <w:lang w:val="en-US"/>
        </w:rPr>
        <w:t>.</w:t>
      </w:r>
      <w:r w:rsidR="00080A0F">
        <w:rPr>
          <w:rFonts w:ascii="Times New Roman" w:hAnsi="Times New Roman" w:cs="Times New Roman"/>
          <w:sz w:val="20"/>
          <w:szCs w:val="20"/>
          <w:lang w:val="en-US"/>
        </w:rPr>
        <w:t xml:space="preserve"> </w:t>
      </w:r>
      <w:proofErr w:type="spellStart"/>
      <w:proofErr w:type="gramStart"/>
      <w:r w:rsidR="00080A0F">
        <w:rPr>
          <w:rFonts w:ascii="Times New Roman" w:hAnsi="Times New Roman" w:cs="Times New Roman"/>
          <w:sz w:val="20"/>
          <w:szCs w:val="20"/>
          <w:lang w:val="en-US"/>
        </w:rPr>
        <w:t>email:</w:t>
      </w:r>
      <w:r w:rsidRPr="004734CC">
        <w:rPr>
          <w:rFonts w:ascii="Times New Roman" w:hAnsi="Times New Roman" w:cs="Times New Roman"/>
          <w:sz w:val="20"/>
          <w:szCs w:val="20"/>
          <w:lang w:val="en-US"/>
        </w:rPr>
        <w:t>giulia.galizia@unired.it</w:t>
      </w:r>
      <w:proofErr w:type="spellEnd"/>
      <w:proofErr w:type="gramEnd"/>
      <w:r w:rsidRPr="004734CC">
        <w:rPr>
          <w:rFonts w:ascii="Times New Roman" w:hAnsi="Times New Roman" w:cs="Times New Roman"/>
          <w:sz w:val="20"/>
          <w:szCs w:val="20"/>
          <w:lang w:val="en-US"/>
        </w:rPr>
        <w:t xml:space="preserve"> </w:t>
      </w:r>
    </w:p>
    <w:p w:rsidR="00862BD1" w:rsidRPr="004734CC" w:rsidRDefault="00862BD1" w:rsidP="004734CC">
      <w:pPr>
        <w:jc w:val="both"/>
        <w:rPr>
          <w:rFonts w:ascii="Times New Roman" w:hAnsi="Times New Roman" w:cs="Times New Roman"/>
          <w:sz w:val="20"/>
          <w:szCs w:val="20"/>
        </w:rPr>
      </w:pPr>
      <w:r w:rsidRPr="004734CC">
        <w:rPr>
          <w:rFonts w:ascii="Times New Roman" w:hAnsi="Times New Roman" w:cs="Times New Roman"/>
          <w:sz w:val="20"/>
          <w:szCs w:val="20"/>
        </w:rPr>
        <w:t>4UNIFARCO S.p.A.</w:t>
      </w:r>
      <w:r w:rsidR="00080A0F">
        <w:rPr>
          <w:rFonts w:ascii="Times New Roman" w:hAnsi="Times New Roman" w:cs="Times New Roman"/>
          <w:sz w:val="20"/>
          <w:szCs w:val="20"/>
        </w:rPr>
        <w:t xml:space="preserve">, </w:t>
      </w:r>
      <w:proofErr w:type="spellStart"/>
      <w:r w:rsidR="00080A0F">
        <w:rPr>
          <w:rFonts w:ascii="Times New Roman" w:hAnsi="Times New Roman" w:cs="Times New Roman"/>
          <w:sz w:val="20"/>
          <w:szCs w:val="20"/>
        </w:rPr>
        <w:t>Italy</w:t>
      </w:r>
      <w:proofErr w:type="spellEnd"/>
      <w:r w:rsidR="00087319">
        <w:rPr>
          <w:rFonts w:ascii="Times New Roman" w:hAnsi="Times New Roman" w:cs="Times New Roman"/>
          <w:sz w:val="20"/>
          <w:szCs w:val="20"/>
        </w:rPr>
        <w:t>.</w:t>
      </w:r>
      <w:r w:rsidR="00080A0F">
        <w:rPr>
          <w:rFonts w:ascii="Times New Roman" w:hAnsi="Times New Roman" w:cs="Times New Roman"/>
          <w:sz w:val="20"/>
          <w:szCs w:val="20"/>
        </w:rPr>
        <w:t xml:space="preserve"> </w:t>
      </w:r>
      <w:proofErr w:type="spellStart"/>
      <w:proofErr w:type="gramStart"/>
      <w:r w:rsidR="00080A0F">
        <w:rPr>
          <w:rFonts w:ascii="Times New Roman" w:hAnsi="Times New Roman" w:cs="Times New Roman"/>
          <w:sz w:val="20"/>
          <w:szCs w:val="20"/>
        </w:rPr>
        <w:t>email:</w:t>
      </w:r>
      <w:r w:rsidRPr="004734CC">
        <w:rPr>
          <w:rFonts w:ascii="Times New Roman" w:hAnsi="Times New Roman" w:cs="Times New Roman"/>
          <w:sz w:val="20"/>
          <w:szCs w:val="20"/>
        </w:rPr>
        <w:t>gianni.baratto@unifarco.it</w:t>
      </w:r>
      <w:proofErr w:type="spellEnd"/>
      <w:proofErr w:type="gramEnd"/>
    </w:p>
    <w:p w:rsidR="00862BD1" w:rsidRPr="00080A0F" w:rsidRDefault="00862BD1" w:rsidP="004734CC">
      <w:pPr>
        <w:jc w:val="both"/>
        <w:rPr>
          <w:rFonts w:ascii="Times New Roman" w:hAnsi="Times New Roman" w:cs="Times New Roman"/>
          <w:sz w:val="20"/>
          <w:szCs w:val="20"/>
          <w:lang w:val="en-US"/>
        </w:rPr>
      </w:pPr>
      <w:r w:rsidRPr="00080A0F">
        <w:rPr>
          <w:rFonts w:ascii="Times New Roman" w:hAnsi="Times New Roman" w:cs="Times New Roman"/>
          <w:sz w:val="20"/>
          <w:szCs w:val="20"/>
          <w:lang w:val="en-US"/>
        </w:rPr>
        <w:t>* Semenzato</w:t>
      </w:r>
      <w:r w:rsidR="00080A0F" w:rsidRPr="00080A0F">
        <w:rPr>
          <w:rFonts w:ascii="Times New Roman" w:hAnsi="Times New Roman" w:cs="Times New Roman"/>
          <w:sz w:val="20"/>
          <w:szCs w:val="20"/>
          <w:lang w:val="en-US"/>
        </w:rPr>
        <w:t xml:space="preserve"> A, Department</w:t>
      </w:r>
      <w:r w:rsidR="00080A0F">
        <w:rPr>
          <w:rFonts w:ascii="Times New Roman" w:hAnsi="Times New Roman" w:cs="Times New Roman"/>
          <w:sz w:val="20"/>
          <w:szCs w:val="20"/>
          <w:lang w:val="en-US"/>
        </w:rPr>
        <w:t xml:space="preserve"> of Pharmaceutical and Pharmacological Sciences, University of Padova, Via</w:t>
      </w:r>
      <w:r w:rsidR="0014792C">
        <w:rPr>
          <w:rFonts w:ascii="Times New Roman" w:hAnsi="Times New Roman" w:cs="Times New Roman"/>
          <w:sz w:val="20"/>
          <w:szCs w:val="20"/>
          <w:lang w:val="en-US"/>
        </w:rPr>
        <w:t xml:space="preserve"> Francesco</w:t>
      </w:r>
      <w:r w:rsidR="00080A0F">
        <w:rPr>
          <w:rFonts w:ascii="Times New Roman" w:hAnsi="Times New Roman" w:cs="Times New Roman"/>
          <w:sz w:val="20"/>
          <w:szCs w:val="20"/>
          <w:lang w:val="en-US"/>
        </w:rPr>
        <w:t xml:space="preserve"> </w:t>
      </w:r>
      <w:proofErr w:type="spellStart"/>
      <w:r w:rsidR="00080A0F">
        <w:rPr>
          <w:rFonts w:ascii="Times New Roman" w:hAnsi="Times New Roman" w:cs="Times New Roman"/>
          <w:sz w:val="20"/>
          <w:szCs w:val="20"/>
          <w:lang w:val="en-US"/>
        </w:rPr>
        <w:t>Marzolo</w:t>
      </w:r>
      <w:proofErr w:type="spellEnd"/>
      <w:r w:rsidR="00080A0F">
        <w:rPr>
          <w:rFonts w:ascii="Times New Roman" w:hAnsi="Times New Roman" w:cs="Times New Roman"/>
          <w:sz w:val="20"/>
          <w:szCs w:val="20"/>
          <w:lang w:val="en-US"/>
        </w:rPr>
        <w:t xml:space="preserve"> 5, 351</w:t>
      </w:r>
      <w:r w:rsidR="0014792C">
        <w:rPr>
          <w:rFonts w:ascii="Times New Roman" w:hAnsi="Times New Roman" w:cs="Times New Roman"/>
          <w:sz w:val="20"/>
          <w:szCs w:val="20"/>
          <w:lang w:val="en-US"/>
        </w:rPr>
        <w:t>3</w:t>
      </w:r>
      <w:r w:rsidR="00080A0F">
        <w:rPr>
          <w:rFonts w:ascii="Times New Roman" w:hAnsi="Times New Roman" w:cs="Times New Roman"/>
          <w:sz w:val="20"/>
          <w:szCs w:val="20"/>
          <w:lang w:val="en-US"/>
        </w:rPr>
        <w:t>1 Padova, Italy</w:t>
      </w:r>
      <w:r w:rsidR="00087319">
        <w:rPr>
          <w:rFonts w:ascii="Times New Roman" w:hAnsi="Times New Roman" w:cs="Times New Roman"/>
          <w:sz w:val="20"/>
          <w:szCs w:val="20"/>
          <w:lang w:val="en-US"/>
        </w:rPr>
        <w:t xml:space="preserve">, </w:t>
      </w:r>
      <w:r w:rsidR="00087319" w:rsidRPr="00080A0F">
        <w:rPr>
          <w:rFonts w:ascii="Times New Roman" w:hAnsi="Times New Roman" w:cs="Times New Roman"/>
          <w:sz w:val="20"/>
          <w:szCs w:val="20"/>
          <w:lang w:val="en-US"/>
        </w:rPr>
        <w:t>Tel: +39 049 8275356</w:t>
      </w:r>
      <w:r w:rsidR="0014792C">
        <w:rPr>
          <w:rFonts w:ascii="Times New Roman" w:hAnsi="Times New Roman" w:cs="Times New Roman"/>
          <w:sz w:val="20"/>
          <w:szCs w:val="20"/>
          <w:lang w:val="en-US"/>
        </w:rPr>
        <w:t>;</w:t>
      </w:r>
      <w:r w:rsidR="00087319">
        <w:rPr>
          <w:rFonts w:ascii="Times New Roman" w:hAnsi="Times New Roman" w:cs="Times New Roman"/>
          <w:sz w:val="20"/>
          <w:szCs w:val="20"/>
          <w:lang w:val="en-US"/>
        </w:rPr>
        <w:t xml:space="preserve"> Email: </w:t>
      </w:r>
      <w:r w:rsidRPr="00080A0F">
        <w:rPr>
          <w:rFonts w:ascii="Times New Roman" w:hAnsi="Times New Roman" w:cs="Times New Roman"/>
          <w:sz w:val="20"/>
          <w:szCs w:val="20"/>
          <w:lang w:val="en-US"/>
        </w:rPr>
        <w:t xml:space="preserve">alessandra.semenzato@unipd.it </w:t>
      </w:r>
    </w:p>
    <w:p w:rsidR="00862BD1" w:rsidRPr="0014792C" w:rsidRDefault="00862BD1" w:rsidP="00A46DD1">
      <w:pPr>
        <w:spacing w:line="240" w:lineRule="auto"/>
        <w:jc w:val="both"/>
        <w:rPr>
          <w:rFonts w:ascii="Times New Roman" w:hAnsi="Times New Roman" w:cs="Times New Roman"/>
          <w:lang w:val="en-US"/>
        </w:rPr>
      </w:pPr>
      <w:r w:rsidRPr="0014792C">
        <w:rPr>
          <w:rFonts w:ascii="Times New Roman" w:hAnsi="Times New Roman" w:cs="Times New Roman"/>
          <w:lang w:val="en-US"/>
        </w:rPr>
        <w:t xml:space="preserve">Abstract: Endocannabinoids have been recently appointed as interesting cosmetic actives in regulating </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a state of chronic low-grade inflammation, known for being involved in many senescence’s manifestations, included skin </w:t>
      </w:r>
      <w:r w:rsidRPr="002B1C1A">
        <w:rPr>
          <w:rFonts w:ascii="Times New Roman" w:hAnsi="Times New Roman" w:cs="Times New Roman"/>
          <w:noProof/>
          <w:lang w:val="en-US"/>
        </w:rPr>
        <w:t>aging</w:t>
      </w:r>
      <w:r w:rsidRPr="0014792C">
        <w:rPr>
          <w:rFonts w:ascii="Times New Roman" w:hAnsi="Times New Roman" w:cs="Times New Roman"/>
          <w:lang w:val="en-US"/>
        </w:rPr>
        <w:t>. The aim of this study was to assess the anti-</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activity of a new synthetic endocannabinoid, </w:t>
      </w:r>
      <w:proofErr w:type="spellStart"/>
      <w:r w:rsidRPr="0014792C">
        <w:rPr>
          <w:rFonts w:ascii="Times New Roman" w:hAnsi="Times New Roman" w:cs="Times New Roman"/>
          <w:lang w:val="en-US"/>
        </w:rPr>
        <w:t>Isopalmide</w:t>
      </w:r>
      <w:proofErr w:type="spellEnd"/>
      <w:r w:rsidRPr="00167EC4">
        <w:rPr>
          <w:rFonts w:ascii="Times New Roman" w:hAnsi="Times New Roman" w:cs="Times New Roman"/>
          <w:vertAlign w:val="superscript"/>
          <w:lang w:val="en-US"/>
        </w:rPr>
        <w:t>®</w:t>
      </w:r>
      <w:r w:rsidRPr="0014792C">
        <w:rPr>
          <w:rFonts w:ascii="Times New Roman" w:hAnsi="Times New Roman" w:cs="Times New Roman"/>
          <w:lang w:val="en-US"/>
        </w:rPr>
        <w:t xml:space="preserve">, on a reconstructed skin model, on which </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has been reproduced through UVA radiation and light mechanical stress. We tested </w:t>
      </w:r>
      <w:proofErr w:type="spellStart"/>
      <w:r w:rsidRPr="0014792C">
        <w:rPr>
          <w:rFonts w:ascii="Times New Roman" w:hAnsi="Times New Roman" w:cs="Times New Roman"/>
          <w:lang w:val="en-US"/>
        </w:rPr>
        <w:t>Isopalmide</w:t>
      </w:r>
      <w:proofErr w:type="spellEnd"/>
      <w:r w:rsidRPr="00D72FEE">
        <w:rPr>
          <w:rFonts w:ascii="Times New Roman" w:hAnsi="Times New Roman" w:cs="Times New Roman"/>
          <w:vertAlign w:val="superscript"/>
          <w:lang w:val="en-US"/>
        </w:rPr>
        <w:t>®</w:t>
      </w:r>
      <w:r w:rsidRPr="0014792C">
        <w:rPr>
          <w:rFonts w:ascii="Times New Roman" w:hAnsi="Times New Roman" w:cs="Times New Roman"/>
          <w:lang w:val="en-US"/>
        </w:rPr>
        <w:t xml:space="preserve"> both as a single active and conveyed in a cosmetic product, in comparison with Anandamide, a well-known natural endocannabinoid with anti-inflammatory action. The anti-</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activity of topically applied products has been assessed, after 6 hours of treatment post-irradiation, through the transcriptional modification of genes involved in the NF-</w:t>
      </w:r>
      <w:r w:rsidRPr="0014792C">
        <w:rPr>
          <w:rFonts w:ascii="Times New Roman" w:hAnsi="Times New Roman" w:cs="Times New Roman"/>
        </w:rPr>
        <w:t>κ</w:t>
      </w:r>
      <w:r w:rsidRPr="0014792C">
        <w:rPr>
          <w:rFonts w:ascii="Times New Roman" w:hAnsi="Times New Roman" w:cs="Times New Roman"/>
          <w:lang w:val="en-US"/>
        </w:rPr>
        <w:t xml:space="preserve">B pathway and the epigenetic pathway targeting </w:t>
      </w:r>
      <w:proofErr w:type="spellStart"/>
      <w:r w:rsidRPr="0014792C">
        <w:rPr>
          <w:rFonts w:ascii="Times New Roman" w:hAnsi="Times New Roman" w:cs="Times New Roman"/>
          <w:lang w:val="en-US"/>
        </w:rPr>
        <w:t>miRs</w:t>
      </w:r>
      <w:proofErr w:type="spellEnd"/>
      <w:r w:rsidRPr="0014792C">
        <w:rPr>
          <w:rFonts w:ascii="Times New Roman" w:hAnsi="Times New Roman" w:cs="Times New Roman"/>
          <w:lang w:val="en-US"/>
        </w:rPr>
        <w:t xml:space="preserve"> as potential biomarkers of </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miR-21, miR-126 and miR-146a. The results confirmed the anti-inflammatory action of Anandamide which inhibits NF-</w:t>
      </w:r>
      <w:r w:rsidRPr="0014792C">
        <w:rPr>
          <w:rFonts w:ascii="Times New Roman" w:hAnsi="Times New Roman" w:cs="Times New Roman"/>
        </w:rPr>
        <w:t>κ</w:t>
      </w:r>
      <w:r w:rsidRPr="0014792C">
        <w:rPr>
          <w:rFonts w:ascii="Times New Roman" w:hAnsi="Times New Roman" w:cs="Times New Roman"/>
          <w:lang w:val="en-US"/>
        </w:rPr>
        <w:t xml:space="preserve">B, while </w:t>
      </w:r>
      <w:proofErr w:type="spellStart"/>
      <w:r w:rsidRPr="0014792C">
        <w:rPr>
          <w:rFonts w:ascii="Times New Roman" w:hAnsi="Times New Roman" w:cs="Times New Roman"/>
          <w:lang w:val="en-US"/>
        </w:rPr>
        <w:t>Isopalmide</w:t>
      </w:r>
      <w:proofErr w:type="spellEnd"/>
      <w:r w:rsidRPr="005A4126">
        <w:rPr>
          <w:rFonts w:ascii="Times New Roman" w:hAnsi="Times New Roman" w:cs="Times New Roman"/>
          <w:vertAlign w:val="superscript"/>
          <w:lang w:val="en-US"/>
        </w:rPr>
        <w:t>®</w:t>
      </w:r>
      <w:r w:rsidRPr="0014792C">
        <w:rPr>
          <w:rFonts w:ascii="Times New Roman" w:hAnsi="Times New Roman" w:cs="Times New Roman"/>
          <w:lang w:val="en-US"/>
        </w:rPr>
        <w:t xml:space="preserve"> showed its anti-</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activity through the establishment of an inflammatory/anti-inflammatory balance by maintaining NF-</w:t>
      </w:r>
      <w:r w:rsidRPr="0014792C">
        <w:rPr>
          <w:rFonts w:ascii="Times New Roman" w:hAnsi="Times New Roman" w:cs="Times New Roman"/>
        </w:rPr>
        <w:t>κ</w:t>
      </w:r>
      <w:r w:rsidRPr="0014792C">
        <w:rPr>
          <w:rFonts w:ascii="Times New Roman" w:hAnsi="Times New Roman" w:cs="Times New Roman"/>
          <w:lang w:val="en-US"/>
        </w:rPr>
        <w:t>B inactive in the cytoplasm and active in the nucleus. The anti-</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activity was shown also by the cosmetic product containing </w:t>
      </w:r>
      <w:proofErr w:type="spellStart"/>
      <w:r w:rsidRPr="0014792C">
        <w:rPr>
          <w:rFonts w:ascii="Times New Roman" w:hAnsi="Times New Roman" w:cs="Times New Roman"/>
          <w:lang w:val="en-US"/>
        </w:rPr>
        <w:t>Isopalmide</w:t>
      </w:r>
      <w:proofErr w:type="spellEnd"/>
      <w:r w:rsidRPr="005A4126">
        <w:rPr>
          <w:rFonts w:ascii="Times New Roman" w:hAnsi="Times New Roman" w:cs="Times New Roman"/>
          <w:vertAlign w:val="superscript"/>
          <w:lang w:val="en-US"/>
        </w:rPr>
        <w:t>®</w:t>
      </w:r>
      <w:r w:rsidRPr="0014792C">
        <w:rPr>
          <w:rFonts w:ascii="Times New Roman" w:hAnsi="Times New Roman" w:cs="Times New Roman"/>
          <w:lang w:val="en-US"/>
        </w:rPr>
        <w:t>.</w:t>
      </w:r>
    </w:p>
    <w:p w:rsidR="00862BD1" w:rsidRPr="0014792C" w:rsidRDefault="00862BD1" w:rsidP="005272A2">
      <w:pPr>
        <w:jc w:val="both"/>
        <w:rPr>
          <w:rFonts w:ascii="Times New Roman" w:hAnsi="Times New Roman" w:cs="Times New Roman"/>
          <w:lang w:val="en-US"/>
        </w:rPr>
      </w:pPr>
      <w:r w:rsidRPr="0014792C">
        <w:rPr>
          <w:rFonts w:ascii="Times New Roman" w:hAnsi="Times New Roman" w:cs="Times New Roman"/>
          <w:lang w:val="en-US"/>
        </w:rPr>
        <w:t xml:space="preserve">Keywords: </w:t>
      </w:r>
      <w:proofErr w:type="spellStart"/>
      <w:r w:rsidR="003822F3">
        <w:rPr>
          <w:rFonts w:ascii="Times New Roman" w:hAnsi="Times New Roman" w:cs="Times New Roman"/>
          <w:lang w:val="en-US"/>
        </w:rPr>
        <w:t>I</w:t>
      </w:r>
      <w:r w:rsidRPr="0014792C">
        <w:rPr>
          <w:rFonts w:ascii="Times New Roman" w:hAnsi="Times New Roman" w:cs="Times New Roman"/>
          <w:lang w:val="en-US"/>
        </w:rPr>
        <w:t>nflammaging</w:t>
      </w:r>
      <w:proofErr w:type="spellEnd"/>
      <w:r w:rsidRPr="0014792C">
        <w:rPr>
          <w:rFonts w:ascii="Times New Roman" w:hAnsi="Times New Roman" w:cs="Times New Roman"/>
          <w:lang w:val="en-US"/>
        </w:rPr>
        <w:t xml:space="preserve">; </w:t>
      </w:r>
      <w:r w:rsidR="003822F3">
        <w:rPr>
          <w:rFonts w:ascii="Times New Roman" w:hAnsi="Times New Roman" w:cs="Times New Roman"/>
          <w:lang w:val="en-US"/>
        </w:rPr>
        <w:t>E</w:t>
      </w:r>
      <w:r w:rsidRPr="0014792C">
        <w:rPr>
          <w:rFonts w:ascii="Times New Roman" w:hAnsi="Times New Roman" w:cs="Times New Roman"/>
          <w:lang w:val="en-US"/>
        </w:rPr>
        <w:t xml:space="preserve">ndocannabinoids; miRNAs; </w:t>
      </w:r>
      <w:r w:rsidR="003822F3">
        <w:rPr>
          <w:rFonts w:ascii="Times New Roman" w:hAnsi="Times New Roman" w:cs="Times New Roman"/>
          <w:lang w:val="en-US"/>
        </w:rPr>
        <w:t>R</w:t>
      </w:r>
      <w:r w:rsidRPr="0014792C">
        <w:rPr>
          <w:rFonts w:ascii="Times New Roman" w:hAnsi="Times New Roman" w:cs="Times New Roman"/>
          <w:lang w:val="en-US"/>
        </w:rPr>
        <w:t xml:space="preserve">econstructed </w:t>
      </w:r>
      <w:r w:rsidR="00A10C8E">
        <w:rPr>
          <w:rFonts w:ascii="Times New Roman" w:hAnsi="Times New Roman" w:cs="Times New Roman"/>
          <w:lang w:val="en-US"/>
        </w:rPr>
        <w:t>H</w:t>
      </w:r>
      <w:r w:rsidRPr="0014792C">
        <w:rPr>
          <w:rFonts w:ascii="Times New Roman" w:hAnsi="Times New Roman" w:cs="Times New Roman"/>
          <w:lang w:val="en-US"/>
        </w:rPr>
        <w:t xml:space="preserve">uman </w:t>
      </w:r>
      <w:r w:rsidR="00A10C8E">
        <w:rPr>
          <w:rFonts w:ascii="Times New Roman" w:hAnsi="Times New Roman" w:cs="Times New Roman"/>
          <w:lang w:val="en-US"/>
        </w:rPr>
        <w:t>E</w:t>
      </w:r>
      <w:r w:rsidRPr="0014792C">
        <w:rPr>
          <w:rFonts w:ascii="Times New Roman" w:hAnsi="Times New Roman" w:cs="Times New Roman"/>
          <w:lang w:val="en-US"/>
        </w:rPr>
        <w:t>pidermis</w:t>
      </w:r>
    </w:p>
    <w:p w:rsidR="00862BD1" w:rsidRPr="00A46DD1" w:rsidRDefault="00862BD1" w:rsidP="005272A2">
      <w:pPr>
        <w:jc w:val="both"/>
        <w:rPr>
          <w:rFonts w:ascii="Times New Roman" w:hAnsi="Times New Roman" w:cs="Times New Roman"/>
          <w:b/>
          <w:lang w:val="en-US"/>
        </w:rPr>
      </w:pPr>
      <w:r w:rsidRPr="00A46DD1">
        <w:rPr>
          <w:rFonts w:ascii="Times New Roman" w:hAnsi="Times New Roman" w:cs="Times New Roman"/>
          <w:b/>
          <w:lang w:val="en-US"/>
        </w:rPr>
        <w:t>1. Introduction</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t xml:space="preserve">Inflammation is widely known for affecting </w:t>
      </w:r>
      <w:r w:rsidRPr="002B1C1A">
        <w:rPr>
          <w:rFonts w:ascii="Times New Roman" w:hAnsi="Times New Roman" w:cs="Times New Roman"/>
          <w:noProof/>
          <w:lang w:val="en-US"/>
        </w:rPr>
        <w:t>aging</w:t>
      </w:r>
      <w:r w:rsidRPr="0014792C">
        <w:rPr>
          <w:rFonts w:ascii="Times New Roman" w:hAnsi="Times New Roman" w:cs="Times New Roman"/>
          <w:lang w:val="en-US"/>
        </w:rPr>
        <w:t xml:space="preserve"> processes and for taking part in a lot of diseases which occur during senescence. Although in harmful situations, such as infections, inflammation has a physiological function helping the body to react to the pathogenic agents, when the inflammatory process does not solve or is too excessive, it becomes detrimental for the organism health. In the last two decades, the concept of </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has emerged, originated mostly from the researches of Claudio </w:t>
      </w:r>
      <w:proofErr w:type="spellStart"/>
      <w:r w:rsidRPr="0014792C">
        <w:rPr>
          <w:rFonts w:ascii="Times New Roman" w:hAnsi="Times New Roman" w:cs="Times New Roman"/>
          <w:lang w:val="en-US"/>
        </w:rPr>
        <w:t>Franceschi</w:t>
      </w:r>
      <w:proofErr w:type="spellEnd"/>
      <w:r w:rsidRPr="0014792C">
        <w:rPr>
          <w:rFonts w:ascii="Times New Roman" w:hAnsi="Times New Roman" w:cs="Times New Roman"/>
          <w:lang w:val="en-US"/>
        </w:rPr>
        <w:t xml:space="preserve"> and his co-workers. According to their studies, </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a chronic low-grade inflammation that manifests itself primarily with </w:t>
      </w:r>
      <w:r w:rsidRPr="002B1C1A">
        <w:rPr>
          <w:rFonts w:ascii="Times New Roman" w:hAnsi="Times New Roman" w:cs="Times New Roman"/>
          <w:noProof/>
          <w:lang w:val="en-US"/>
        </w:rPr>
        <w:t>aging</w:t>
      </w:r>
      <w:r w:rsidRPr="0014792C">
        <w:rPr>
          <w:rFonts w:ascii="Times New Roman" w:hAnsi="Times New Roman" w:cs="Times New Roman"/>
          <w:lang w:val="en-US"/>
        </w:rPr>
        <w:t xml:space="preserve"> [1], is caused by both external and internal factors but the main stressors have been identified in the self-debris of cells since, with </w:t>
      </w:r>
      <w:r w:rsidRPr="002B1C1A">
        <w:rPr>
          <w:rFonts w:ascii="Times New Roman" w:hAnsi="Times New Roman" w:cs="Times New Roman"/>
          <w:noProof/>
          <w:lang w:val="en-US"/>
        </w:rPr>
        <w:t>aging</w:t>
      </w:r>
      <w:r w:rsidRPr="0014792C">
        <w:rPr>
          <w:rFonts w:ascii="Times New Roman" w:hAnsi="Times New Roman" w:cs="Times New Roman"/>
          <w:lang w:val="en-US"/>
        </w:rPr>
        <w:t>, the organisms find it more difficult to eliminate their metabolism products [2]. Recent studies carried out on centenarians, who are still healthy and without major diseases despite their age, have highlighted significant levels of pro-</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markers together with a high level of anti-inflammatory mediators, suggesting that “aging well” is not related to the absence of inflammation but to a </w:t>
      </w:r>
      <w:r w:rsidR="00E41943" w:rsidRPr="0014792C">
        <w:rPr>
          <w:rFonts w:ascii="Times New Roman" w:hAnsi="Times New Roman" w:cs="Times New Roman"/>
          <w:lang w:val="en-US"/>
        </w:rPr>
        <w:t>favorable</w:t>
      </w:r>
      <w:r w:rsidRPr="0014792C">
        <w:rPr>
          <w:rFonts w:ascii="Times New Roman" w:hAnsi="Times New Roman" w:cs="Times New Roman"/>
          <w:lang w:val="en-US"/>
        </w:rPr>
        <w:t xml:space="preserve"> balance between inflammatory and anti-inflammatory factors [3]. </w:t>
      </w:r>
    </w:p>
    <w:p w:rsidR="00862BD1" w:rsidRPr="0014792C" w:rsidRDefault="00862BD1" w:rsidP="00E23253">
      <w:pPr>
        <w:spacing w:line="240" w:lineRule="auto"/>
        <w:jc w:val="both"/>
        <w:rPr>
          <w:rFonts w:ascii="Times New Roman" w:hAnsi="Times New Roman" w:cs="Times New Roman"/>
          <w:lang w:val="en-US"/>
        </w:rPr>
      </w:pPr>
      <w:r w:rsidRPr="0014792C">
        <w:rPr>
          <w:rFonts w:ascii="Times New Roman" w:hAnsi="Times New Roman" w:cs="Times New Roman"/>
          <w:lang w:val="en-US"/>
        </w:rPr>
        <w:t xml:space="preserve">Cutaneous senescence is a complex phenomenon due to multiple intrinsic and extrinsic factors. A pivotal role in senescence is played by epigenetics which refers to the modifications that occur in DNA leading to alterations in genomic expression (phenotype) without changes in genomic sequences (genotype). Epigenetics’ regulation involves several mechanisms such as DNA methylation, histone modifications and modulatory activity of miRNAs. About the latter, miRNAs are a class of short, endogenous, single-stranded RNAs that regulate gene expression [4]. They are involved in several processes such as immune responses, cell proliferation, cell death, inflammation, initiation and progression of </w:t>
      </w:r>
      <w:r w:rsidRPr="002B1C1A">
        <w:rPr>
          <w:rFonts w:ascii="Times New Roman" w:hAnsi="Times New Roman" w:cs="Times New Roman"/>
          <w:noProof/>
          <w:lang w:val="en-US"/>
        </w:rPr>
        <w:t>tumors</w:t>
      </w:r>
      <w:r w:rsidRPr="0014792C">
        <w:rPr>
          <w:rFonts w:ascii="Times New Roman" w:hAnsi="Times New Roman" w:cs="Times New Roman"/>
          <w:lang w:val="en-US"/>
        </w:rPr>
        <w:t xml:space="preserve"> [5]. Many studies underline that during </w:t>
      </w:r>
      <w:r w:rsidRPr="002B1C1A">
        <w:rPr>
          <w:rFonts w:ascii="Times New Roman" w:hAnsi="Times New Roman" w:cs="Times New Roman"/>
          <w:noProof/>
          <w:lang w:val="en-US"/>
        </w:rPr>
        <w:t>aging</w:t>
      </w:r>
      <w:r w:rsidRPr="0014792C">
        <w:rPr>
          <w:rFonts w:ascii="Times New Roman" w:hAnsi="Times New Roman" w:cs="Times New Roman"/>
          <w:lang w:val="en-US"/>
        </w:rPr>
        <w:t xml:space="preserve"> there is an increase in the level of miRNAs, which results in the activation of pathways related to inflammation and senescence, such as the NF-</w:t>
      </w:r>
      <w:r w:rsidRPr="0014792C">
        <w:rPr>
          <w:rFonts w:ascii="Times New Roman" w:hAnsi="Times New Roman" w:cs="Times New Roman"/>
        </w:rPr>
        <w:t>κ</w:t>
      </w:r>
      <w:r w:rsidRPr="0014792C">
        <w:rPr>
          <w:rFonts w:ascii="Times New Roman" w:hAnsi="Times New Roman" w:cs="Times New Roman"/>
          <w:lang w:val="en-US"/>
        </w:rPr>
        <w:t xml:space="preserve">B one, and addresses them as interesting bio-markers of these processes [6]. </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lastRenderedPageBreak/>
        <w:t>The skin has multiple ways to maintain its balance against inflammation and one of these is represented by the endocannabinoid system. Endocannabinoids are lipid molecules produced by the body in a wide array of situations: in the brain, they are largely known for their involvement in pain control [7]; in the skin, they regulate the differentiation and the production of mediators by various skin cells [8]. Studies in mice have reported the production of endocannabinoids as protective agents when an inflammatory skin disease occurs, supporting their involvement in the regulation of the cutaneous inflammation [9]. Endocannabinoids exert their anti-inflammatory activities mainly through the binding with their receptors, CB1 and CB2. The first ones are localized primarily in the central and peripheral nervous system, while the second ones are found on immune cells. In addition to these receptors, endocannabinoids exert their action also in a receptor-independent way.</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t>In fact, Anandamide, the first natural endocannabinoid discovered, exerts an anti-inflammatory activity in a receptor-independent manner by acting directly on the NF-</w:t>
      </w:r>
      <w:r w:rsidRPr="0014792C">
        <w:rPr>
          <w:rFonts w:ascii="Times New Roman" w:hAnsi="Times New Roman" w:cs="Times New Roman"/>
        </w:rPr>
        <w:t>κ</w:t>
      </w:r>
      <w:r w:rsidRPr="0014792C">
        <w:rPr>
          <w:rFonts w:ascii="Times New Roman" w:hAnsi="Times New Roman" w:cs="Times New Roman"/>
          <w:lang w:val="en-US"/>
        </w:rPr>
        <w:t xml:space="preserve">B pathway [10], which is a nuclear factor with a pivotal role in the regulation of several genes involved in inflammation, in cell proliferation, </w:t>
      </w:r>
      <w:r w:rsidR="00275C9B" w:rsidRPr="002B1C1A">
        <w:rPr>
          <w:rFonts w:ascii="Times New Roman" w:hAnsi="Times New Roman" w:cs="Times New Roman"/>
          <w:noProof/>
          <w:lang w:val="en-US"/>
        </w:rPr>
        <w:t>tumor</w:t>
      </w:r>
      <w:r w:rsidRPr="0014792C">
        <w:rPr>
          <w:rFonts w:ascii="Times New Roman" w:hAnsi="Times New Roman" w:cs="Times New Roman"/>
          <w:lang w:val="en-US"/>
        </w:rPr>
        <w:t xml:space="preserve"> development, etc. Anandamide was proved to inhibit NF-</w:t>
      </w:r>
      <w:r w:rsidRPr="0014792C">
        <w:rPr>
          <w:rFonts w:ascii="Times New Roman" w:hAnsi="Times New Roman" w:cs="Times New Roman"/>
        </w:rPr>
        <w:t>κ</w:t>
      </w:r>
      <w:r w:rsidRPr="0014792C">
        <w:rPr>
          <w:rFonts w:ascii="Times New Roman" w:hAnsi="Times New Roman" w:cs="Times New Roman"/>
          <w:lang w:val="en-US"/>
        </w:rPr>
        <w:t>B-dependent transcription by inhibiting IKK activation, which is responsible for the phosphorylation of I</w:t>
      </w:r>
      <w:r w:rsidRPr="0014792C">
        <w:rPr>
          <w:rFonts w:ascii="Times New Roman" w:hAnsi="Times New Roman" w:cs="Times New Roman"/>
        </w:rPr>
        <w:t>κ</w:t>
      </w:r>
      <w:r w:rsidRPr="0014792C">
        <w:rPr>
          <w:rFonts w:ascii="Times New Roman" w:hAnsi="Times New Roman" w:cs="Times New Roman"/>
          <w:lang w:val="en-US"/>
        </w:rPr>
        <w:t>B</w:t>
      </w:r>
      <w:r w:rsidRPr="0014792C">
        <w:rPr>
          <w:rFonts w:ascii="Times New Roman" w:hAnsi="Times New Roman" w:cs="Times New Roman"/>
        </w:rPr>
        <w:t>α</w:t>
      </w:r>
      <w:r w:rsidRPr="0014792C">
        <w:rPr>
          <w:rFonts w:ascii="Times New Roman" w:hAnsi="Times New Roman" w:cs="Times New Roman"/>
          <w:lang w:val="en-US"/>
        </w:rPr>
        <w:t>, the protein that maintains NF-</w:t>
      </w:r>
      <w:r w:rsidRPr="0014792C">
        <w:rPr>
          <w:rFonts w:ascii="Times New Roman" w:hAnsi="Times New Roman" w:cs="Times New Roman"/>
        </w:rPr>
        <w:t>κ</w:t>
      </w:r>
      <w:r w:rsidRPr="0014792C">
        <w:rPr>
          <w:rFonts w:ascii="Times New Roman" w:hAnsi="Times New Roman" w:cs="Times New Roman"/>
          <w:lang w:val="en-US"/>
        </w:rPr>
        <w:t>B inactive in the cytoplasm. Moreover, the inhibition of NF-</w:t>
      </w:r>
      <w:r w:rsidRPr="0014792C">
        <w:rPr>
          <w:rFonts w:ascii="Times New Roman" w:hAnsi="Times New Roman" w:cs="Times New Roman"/>
        </w:rPr>
        <w:t>κ</w:t>
      </w:r>
      <w:r w:rsidRPr="0014792C">
        <w:rPr>
          <w:rFonts w:ascii="Times New Roman" w:hAnsi="Times New Roman" w:cs="Times New Roman"/>
          <w:lang w:val="en-US"/>
        </w:rPr>
        <w:t xml:space="preserve">B was shown also by some anandamide analogues, such as </w:t>
      </w:r>
      <w:r w:rsidRPr="002B1C1A">
        <w:rPr>
          <w:rFonts w:ascii="Times New Roman" w:hAnsi="Times New Roman" w:cs="Times New Roman"/>
          <w:noProof/>
          <w:lang w:val="en-US"/>
        </w:rPr>
        <w:t>arvanil</w:t>
      </w:r>
      <w:r w:rsidRPr="0014792C">
        <w:rPr>
          <w:rFonts w:ascii="Times New Roman" w:hAnsi="Times New Roman" w:cs="Times New Roman"/>
          <w:lang w:val="en-US"/>
        </w:rPr>
        <w:t xml:space="preserve"> and </w:t>
      </w:r>
      <w:r w:rsidRPr="002B1C1A">
        <w:rPr>
          <w:rFonts w:ascii="Times New Roman" w:hAnsi="Times New Roman" w:cs="Times New Roman"/>
          <w:noProof/>
          <w:lang w:val="en-US"/>
        </w:rPr>
        <w:t>olvanil</w:t>
      </w:r>
      <w:r w:rsidRPr="0014792C">
        <w:rPr>
          <w:rFonts w:ascii="Times New Roman" w:hAnsi="Times New Roman" w:cs="Times New Roman"/>
          <w:lang w:val="en-US"/>
        </w:rPr>
        <w:t xml:space="preserve"> [10]. Based on this evidence, the aim of this study was to assess the anti-</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activity of a new synthetic endocannabinoid, </w:t>
      </w:r>
      <w:proofErr w:type="spellStart"/>
      <w:r w:rsidRPr="0014792C">
        <w:rPr>
          <w:rFonts w:ascii="Times New Roman" w:hAnsi="Times New Roman" w:cs="Times New Roman"/>
          <w:lang w:val="en-US"/>
        </w:rPr>
        <w:t>Isopalmide</w:t>
      </w:r>
      <w:proofErr w:type="spellEnd"/>
      <w:r w:rsidRPr="00275C9B">
        <w:rPr>
          <w:rFonts w:ascii="Times New Roman" w:hAnsi="Times New Roman" w:cs="Times New Roman"/>
          <w:vertAlign w:val="superscript"/>
          <w:lang w:val="en-US"/>
        </w:rPr>
        <w:t>®</w:t>
      </w:r>
      <w:r w:rsidRPr="0014792C">
        <w:rPr>
          <w:rFonts w:ascii="Times New Roman" w:hAnsi="Times New Roman" w:cs="Times New Roman"/>
          <w:lang w:val="en-US"/>
        </w:rPr>
        <w:t>, in comparison to Anandamide, and to verify the anti-</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activity of a cosmetic product containing </w:t>
      </w:r>
      <w:proofErr w:type="spellStart"/>
      <w:r w:rsidRPr="0014792C">
        <w:rPr>
          <w:rFonts w:ascii="Times New Roman" w:hAnsi="Times New Roman" w:cs="Times New Roman"/>
          <w:lang w:val="en-US"/>
        </w:rPr>
        <w:t>Isopalmide</w:t>
      </w:r>
      <w:proofErr w:type="spellEnd"/>
      <w:r w:rsidRPr="00275C9B">
        <w:rPr>
          <w:rFonts w:ascii="Times New Roman" w:hAnsi="Times New Roman" w:cs="Times New Roman"/>
          <w:vertAlign w:val="superscript"/>
          <w:lang w:val="en-US"/>
        </w:rPr>
        <w:t>®</w:t>
      </w:r>
      <w:r w:rsidRPr="0014792C">
        <w:rPr>
          <w:rFonts w:ascii="Times New Roman" w:hAnsi="Times New Roman" w:cs="Times New Roman"/>
          <w:lang w:val="en-US"/>
        </w:rPr>
        <w:t xml:space="preserve">, using an </w:t>
      </w:r>
      <w:r w:rsidRPr="002227A6">
        <w:rPr>
          <w:rFonts w:ascii="Times New Roman" w:hAnsi="Times New Roman" w:cs="Times New Roman"/>
          <w:i/>
          <w:lang w:val="en-US"/>
        </w:rPr>
        <w:t>in vitro</w:t>
      </w:r>
      <w:r w:rsidRPr="0014792C">
        <w:rPr>
          <w:rFonts w:ascii="Times New Roman" w:hAnsi="Times New Roman" w:cs="Times New Roman"/>
          <w:lang w:val="en-US"/>
        </w:rPr>
        <w:t xml:space="preserve"> reconstructed Full Thickness Skin model. </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t xml:space="preserve">On </w:t>
      </w:r>
      <w:proofErr w:type="spellStart"/>
      <w:r w:rsidRPr="0014792C">
        <w:rPr>
          <w:rFonts w:ascii="Times New Roman" w:hAnsi="Times New Roman" w:cs="Times New Roman"/>
          <w:lang w:val="en-US"/>
        </w:rPr>
        <w:t>Phenion</w:t>
      </w:r>
      <w:proofErr w:type="spellEnd"/>
      <w:r w:rsidRPr="0014792C">
        <w:rPr>
          <w:rFonts w:ascii="Times New Roman" w:hAnsi="Times New Roman" w:cs="Times New Roman"/>
          <w:lang w:val="en-US"/>
        </w:rPr>
        <w:t xml:space="preserve"> Skin (FT-Skin) an “</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stress” model has been developed, mimicking a low grade of inflammation induced by UVA exposure associated to a light mechanical stress on the epidermal surface thus recapitulating both barrier function impairment that occurs during the </w:t>
      </w:r>
      <w:r w:rsidRPr="002B1C1A">
        <w:rPr>
          <w:rFonts w:ascii="Times New Roman" w:hAnsi="Times New Roman" w:cs="Times New Roman"/>
          <w:noProof/>
          <w:lang w:val="en-US"/>
        </w:rPr>
        <w:t>aging</w:t>
      </w:r>
      <w:r w:rsidRPr="0014792C">
        <w:rPr>
          <w:rFonts w:ascii="Times New Roman" w:hAnsi="Times New Roman" w:cs="Times New Roman"/>
          <w:lang w:val="en-US"/>
        </w:rPr>
        <w:t xml:space="preserve"> process and dermal matrix damages induced by a relevant biological UVA dose. </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t>The anti-</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activity of topically applied products has been assessed through the transcriptional modification of genes involved in the NF-</w:t>
      </w:r>
      <w:r w:rsidRPr="0014792C">
        <w:rPr>
          <w:rFonts w:ascii="Times New Roman" w:hAnsi="Times New Roman" w:cs="Times New Roman"/>
        </w:rPr>
        <w:t>κ</w:t>
      </w:r>
      <w:r w:rsidRPr="0014792C">
        <w:rPr>
          <w:rFonts w:ascii="Times New Roman" w:hAnsi="Times New Roman" w:cs="Times New Roman"/>
          <w:lang w:val="en-US"/>
        </w:rPr>
        <w:t xml:space="preserve">B pathway and the epigenetic pathway targeting miRNAs as potential biomarkers of </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in particular miR-21, miR-126 and miR-146a are defined as </w:t>
      </w:r>
      <w:proofErr w:type="spellStart"/>
      <w:r w:rsidRPr="002B1C1A">
        <w:rPr>
          <w:rFonts w:ascii="Times New Roman" w:hAnsi="Times New Roman" w:cs="Times New Roman"/>
          <w:noProof/>
          <w:lang w:val="en-US"/>
        </w:rPr>
        <w:t>inflamm</w:t>
      </w:r>
      <w:r w:rsidRPr="0014792C">
        <w:rPr>
          <w:rFonts w:ascii="Times New Roman" w:hAnsi="Times New Roman" w:cs="Times New Roman"/>
          <w:lang w:val="en-US"/>
        </w:rPr>
        <w:t>-miRs</w:t>
      </w:r>
      <w:proofErr w:type="spellEnd"/>
      <w:r w:rsidRPr="0014792C">
        <w:rPr>
          <w:rFonts w:ascii="Times New Roman" w:hAnsi="Times New Roman" w:cs="Times New Roman"/>
          <w:lang w:val="en-US"/>
        </w:rPr>
        <w:t xml:space="preserve"> since they target mRNA related to the NF-</w:t>
      </w:r>
      <w:r w:rsidRPr="0014792C">
        <w:rPr>
          <w:rFonts w:ascii="Times New Roman" w:hAnsi="Times New Roman" w:cs="Times New Roman"/>
        </w:rPr>
        <w:t>κ</w:t>
      </w:r>
      <w:r w:rsidRPr="0014792C">
        <w:rPr>
          <w:rFonts w:ascii="Times New Roman" w:hAnsi="Times New Roman" w:cs="Times New Roman"/>
          <w:lang w:val="en-US"/>
        </w:rPr>
        <w:t>B pathway [11].</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t>The NF-kB pathway can be exemplified as follow (Figure 1):</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t>The transcription factor NF-</w:t>
      </w:r>
      <w:r w:rsidRPr="0014792C">
        <w:rPr>
          <w:rFonts w:ascii="Times New Roman" w:hAnsi="Times New Roman" w:cs="Times New Roman"/>
        </w:rPr>
        <w:t>κ</w:t>
      </w:r>
      <w:r w:rsidRPr="0014792C">
        <w:rPr>
          <w:rFonts w:ascii="Times New Roman" w:hAnsi="Times New Roman" w:cs="Times New Roman"/>
          <w:lang w:val="en-US"/>
        </w:rPr>
        <w:t>B (nuclear factor kappa-light-chain-enhancer of activated B cells) is a prominent mediator of inflammation which acts as a key transcriptional regulator of many genes coding for pro-inflammatory cytokines. NF-</w:t>
      </w:r>
      <w:r w:rsidRPr="0014792C">
        <w:rPr>
          <w:rFonts w:ascii="Times New Roman" w:hAnsi="Times New Roman" w:cs="Times New Roman"/>
        </w:rPr>
        <w:t>κ</w:t>
      </w:r>
      <w:r w:rsidRPr="0014792C">
        <w:rPr>
          <w:rFonts w:ascii="Times New Roman" w:hAnsi="Times New Roman" w:cs="Times New Roman"/>
          <w:lang w:val="en-US"/>
        </w:rPr>
        <w:t xml:space="preserve">B is a protein complex that both induces and represses gene expression by binding to discrete DNA sequences, known as </w:t>
      </w:r>
      <w:r w:rsidRPr="0014792C">
        <w:rPr>
          <w:rFonts w:ascii="Times New Roman" w:hAnsi="Times New Roman" w:cs="Times New Roman"/>
        </w:rPr>
        <w:t>κ</w:t>
      </w:r>
      <w:r w:rsidRPr="0014792C">
        <w:rPr>
          <w:rFonts w:ascii="Times New Roman" w:hAnsi="Times New Roman" w:cs="Times New Roman"/>
          <w:lang w:val="en-US"/>
        </w:rPr>
        <w:t>B elements, in promoters and enhancers. NF-</w:t>
      </w:r>
      <w:r w:rsidRPr="0014792C">
        <w:rPr>
          <w:rFonts w:ascii="Times New Roman" w:hAnsi="Times New Roman" w:cs="Times New Roman"/>
        </w:rPr>
        <w:t>κ</w:t>
      </w:r>
      <w:r w:rsidRPr="0014792C">
        <w:rPr>
          <w:rFonts w:ascii="Times New Roman" w:hAnsi="Times New Roman" w:cs="Times New Roman"/>
          <w:lang w:val="en-US"/>
        </w:rPr>
        <w:t>B complexes are retained as inactive forms in the cytoplasm by a family of inhibitory proteins known as inhibitors of NF-</w:t>
      </w:r>
      <w:r w:rsidRPr="0014792C">
        <w:rPr>
          <w:rFonts w:ascii="Times New Roman" w:hAnsi="Times New Roman" w:cs="Times New Roman"/>
        </w:rPr>
        <w:t>κ</w:t>
      </w:r>
      <w:r w:rsidRPr="0014792C">
        <w:rPr>
          <w:rFonts w:ascii="Times New Roman" w:hAnsi="Times New Roman" w:cs="Times New Roman"/>
          <w:lang w:val="en-US"/>
        </w:rPr>
        <w:t>B (I</w:t>
      </w:r>
      <w:r w:rsidRPr="0014792C">
        <w:rPr>
          <w:rFonts w:ascii="Times New Roman" w:hAnsi="Times New Roman" w:cs="Times New Roman"/>
        </w:rPr>
        <w:t>κ</w:t>
      </w:r>
      <w:r w:rsidRPr="0014792C">
        <w:rPr>
          <w:rFonts w:ascii="Times New Roman" w:hAnsi="Times New Roman" w:cs="Times New Roman"/>
          <w:lang w:val="en-US"/>
        </w:rPr>
        <w:t>Bs). Activation of NF-</w:t>
      </w:r>
      <w:r w:rsidRPr="0014792C">
        <w:rPr>
          <w:rFonts w:ascii="Times New Roman" w:hAnsi="Times New Roman" w:cs="Times New Roman"/>
        </w:rPr>
        <w:t>κ</w:t>
      </w:r>
      <w:r w:rsidRPr="0014792C">
        <w:rPr>
          <w:rFonts w:ascii="Times New Roman" w:hAnsi="Times New Roman" w:cs="Times New Roman"/>
          <w:lang w:val="en-US"/>
        </w:rPr>
        <w:t>B typically involves the phosphorylation of I</w:t>
      </w:r>
      <w:r w:rsidRPr="0014792C">
        <w:rPr>
          <w:rFonts w:ascii="Times New Roman" w:hAnsi="Times New Roman" w:cs="Times New Roman"/>
        </w:rPr>
        <w:t>κ</w:t>
      </w:r>
      <w:r w:rsidRPr="0014792C">
        <w:rPr>
          <w:rFonts w:ascii="Times New Roman" w:hAnsi="Times New Roman" w:cs="Times New Roman"/>
          <w:lang w:val="en-US"/>
        </w:rPr>
        <w:t>B by the I</w:t>
      </w:r>
      <w:r w:rsidRPr="0014792C">
        <w:rPr>
          <w:rFonts w:ascii="Times New Roman" w:hAnsi="Times New Roman" w:cs="Times New Roman"/>
        </w:rPr>
        <w:t>κ</w:t>
      </w:r>
      <w:r w:rsidRPr="0014792C">
        <w:rPr>
          <w:rFonts w:ascii="Times New Roman" w:hAnsi="Times New Roman" w:cs="Times New Roman"/>
          <w:lang w:val="en-US"/>
        </w:rPr>
        <w:t>B kinase (IKK, CHUCK) complex, which results in I</w:t>
      </w:r>
      <w:r w:rsidRPr="0014792C">
        <w:rPr>
          <w:rFonts w:ascii="Times New Roman" w:hAnsi="Times New Roman" w:cs="Times New Roman"/>
        </w:rPr>
        <w:t>κ</w:t>
      </w:r>
      <w:r w:rsidRPr="0014792C">
        <w:rPr>
          <w:rFonts w:ascii="Times New Roman" w:hAnsi="Times New Roman" w:cs="Times New Roman"/>
          <w:lang w:val="en-US"/>
        </w:rPr>
        <w:t>B degradation. This releases NF-</w:t>
      </w:r>
      <w:r w:rsidRPr="0014792C">
        <w:rPr>
          <w:rFonts w:ascii="Times New Roman" w:hAnsi="Times New Roman" w:cs="Times New Roman"/>
        </w:rPr>
        <w:t>κ</w:t>
      </w:r>
      <w:r w:rsidRPr="0014792C">
        <w:rPr>
          <w:rFonts w:ascii="Times New Roman" w:hAnsi="Times New Roman" w:cs="Times New Roman"/>
          <w:lang w:val="en-US"/>
        </w:rPr>
        <w:t xml:space="preserve">B and allows the free translocation in the nucleus and activation of pro-inflammatory response [12].   </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t xml:space="preserve">The regulation of UVA-induced inflammation is furtherly actuated by epigenetic modulation via miRNA expression. </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t>Some miRNAs, like miR-21 and miR-126, targeting mRNAs belonging to the NF-</w:t>
      </w:r>
      <w:r w:rsidRPr="0014792C">
        <w:rPr>
          <w:rFonts w:ascii="Times New Roman" w:hAnsi="Times New Roman" w:cs="Times New Roman"/>
        </w:rPr>
        <w:t>κ</w:t>
      </w:r>
      <w:r w:rsidRPr="0014792C">
        <w:rPr>
          <w:rFonts w:ascii="Times New Roman" w:hAnsi="Times New Roman" w:cs="Times New Roman"/>
          <w:lang w:val="en-US"/>
        </w:rPr>
        <w:t>B pathway, are classifiable as senescence-associated (SA-</w:t>
      </w:r>
      <w:proofErr w:type="spellStart"/>
      <w:r w:rsidRPr="0014792C">
        <w:rPr>
          <w:rFonts w:ascii="Times New Roman" w:hAnsi="Times New Roman" w:cs="Times New Roman"/>
          <w:lang w:val="en-US"/>
        </w:rPr>
        <w:t>miRs</w:t>
      </w:r>
      <w:proofErr w:type="spellEnd"/>
      <w:r w:rsidRPr="0014792C">
        <w:rPr>
          <w:rFonts w:ascii="Times New Roman" w:hAnsi="Times New Roman" w:cs="Times New Roman"/>
          <w:lang w:val="en-US"/>
        </w:rPr>
        <w:t>) and inflammation-associated (</w:t>
      </w:r>
      <w:proofErr w:type="spellStart"/>
      <w:r w:rsidRPr="002B1C1A">
        <w:rPr>
          <w:rFonts w:ascii="Times New Roman" w:hAnsi="Times New Roman" w:cs="Times New Roman"/>
          <w:noProof/>
          <w:lang w:val="en-US"/>
        </w:rPr>
        <w:t>inflamma</w:t>
      </w:r>
      <w:r w:rsidRPr="0014792C">
        <w:rPr>
          <w:rFonts w:ascii="Times New Roman" w:hAnsi="Times New Roman" w:cs="Times New Roman"/>
          <w:lang w:val="en-US"/>
        </w:rPr>
        <w:t>-miRs</w:t>
      </w:r>
      <w:proofErr w:type="spellEnd"/>
      <w:r w:rsidRPr="0014792C">
        <w:rPr>
          <w:rFonts w:ascii="Times New Roman" w:hAnsi="Times New Roman" w:cs="Times New Roman"/>
          <w:lang w:val="en-US"/>
        </w:rPr>
        <w:t>). They target the NF-</w:t>
      </w:r>
      <w:r w:rsidRPr="0014792C">
        <w:rPr>
          <w:rFonts w:ascii="Times New Roman" w:hAnsi="Times New Roman" w:cs="Times New Roman"/>
        </w:rPr>
        <w:t>κ</w:t>
      </w:r>
      <w:r w:rsidRPr="0014792C">
        <w:rPr>
          <w:rFonts w:ascii="Times New Roman" w:hAnsi="Times New Roman" w:cs="Times New Roman"/>
          <w:lang w:val="en-US"/>
        </w:rPr>
        <w:t xml:space="preserve">B pathway primarily through a negative feedback loop aimed at retaining the excessive proinflammatory response induced by </w:t>
      </w:r>
      <w:r w:rsidR="00ED5809" w:rsidRPr="002B1C1A">
        <w:rPr>
          <w:rFonts w:ascii="Times New Roman" w:hAnsi="Times New Roman" w:cs="Times New Roman"/>
          <w:noProof/>
          <w:lang w:val="en-US"/>
        </w:rPr>
        <w:t>signaling</w:t>
      </w:r>
      <w:r w:rsidRPr="0014792C">
        <w:rPr>
          <w:rFonts w:ascii="Times New Roman" w:hAnsi="Times New Roman" w:cs="Times New Roman"/>
          <w:lang w:val="en-US"/>
        </w:rPr>
        <w:t xml:space="preserve"> activation [13].</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t>miRNA pathway can be summarized as follow (Figure 2):</w:t>
      </w:r>
    </w:p>
    <w:p w:rsidR="00862BD1" w:rsidRPr="0014792C" w:rsidRDefault="00862BD1" w:rsidP="00E23253">
      <w:pPr>
        <w:spacing w:line="240" w:lineRule="auto"/>
        <w:jc w:val="both"/>
        <w:rPr>
          <w:rFonts w:ascii="Times New Roman" w:hAnsi="Times New Roman" w:cs="Times New Roman"/>
          <w:lang w:val="en-US"/>
        </w:rPr>
      </w:pPr>
      <w:r w:rsidRPr="0014792C">
        <w:rPr>
          <w:rFonts w:ascii="Times New Roman" w:hAnsi="Times New Roman" w:cs="Times New Roman"/>
          <w:lang w:val="en-US"/>
        </w:rPr>
        <w:t>In particular miR-21 overexpression enhances the inflammatory response. Furthermore, miR-21 is able to reduce the expression of potent human anti-inflammatory molecules such as interleukin (IL)- 10 and TGF-</w:t>
      </w:r>
      <w:r w:rsidRPr="0014792C">
        <w:rPr>
          <w:rFonts w:ascii="Times New Roman" w:hAnsi="Times New Roman" w:cs="Times New Roman"/>
        </w:rPr>
        <w:t>β</w:t>
      </w:r>
      <w:r w:rsidRPr="0014792C">
        <w:rPr>
          <w:rFonts w:ascii="Times New Roman" w:hAnsi="Times New Roman" w:cs="Times New Roman"/>
          <w:lang w:val="en-US"/>
        </w:rPr>
        <w:t>, while miR-126 plays an important role in the modulation of inflammatory activity by down-regulating the expression of I</w:t>
      </w:r>
      <w:r w:rsidRPr="0014792C">
        <w:rPr>
          <w:rFonts w:ascii="Times New Roman" w:hAnsi="Times New Roman" w:cs="Times New Roman"/>
        </w:rPr>
        <w:t>κ</w:t>
      </w:r>
      <w:r w:rsidRPr="0014792C">
        <w:rPr>
          <w:rFonts w:ascii="Times New Roman" w:hAnsi="Times New Roman" w:cs="Times New Roman"/>
          <w:lang w:val="en-US"/>
        </w:rPr>
        <w:t>B</w:t>
      </w:r>
      <w:r w:rsidRPr="0014792C">
        <w:rPr>
          <w:rFonts w:ascii="Times New Roman" w:hAnsi="Times New Roman" w:cs="Times New Roman"/>
        </w:rPr>
        <w:t>α</w:t>
      </w:r>
      <w:r w:rsidRPr="0014792C">
        <w:rPr>
          <w:rFonts w:ascii="Times New Roman" w:hAnsi="Times New Roman" w:cs="Times New Roman"/>
          <w:lang w:val="en-US"/>
        </w:rPr>
        <w:t>, an important inhibitor of the NF-</w:t>
      </w:r>
      <w:r w:rsidRPr="0014792C">
        <w:rPr>
          <w:rFonts w:ascii="Times New Roman" w:hAnsi="Times New Roman" w:cs="Times New Roman"/>
        </w:rPr>
        <w:t>κ</w:t>
      </w:r>
      <w:r w:rsidRPr="0014792C">
        <w:rPr>
          <w:rFonts w:ascii="Times New Roman" w:hAnsi="Times New Roman" w:cs="Times New Roman"/>
          <w:lang w:val="en-US"/>
        </w:rPr>
        <w:t xml:space="preserve">B </w:t>
      </w:r>
      <w:r w:rsidR="0013566B" w:rsidRPr="002B1C1A">
        <w:rPr>
          <w:rFonts w:ascii="Times New Roman" w:hAnsi="Times New Roman" w:cs="Times New Roman"/>
          <w:noProof/>
          <w:lang w:val="en-US"/>
        </w:rPr>
        <w:t>signaling</w:t>
      </w:r>
      <w:r w:rsidRPr="0014792C">
        <w:rPr>
          <w:rFonts w:ascii="Times New Roman" w:hAnsi="Times New Roman" w:cs="Times New Roman"/>
          <w:lang w:val="en-US"/>
        </w:rPr>
        <w:t>. The regulatory negative loop for inflammatory pathway switches off is mediated by a miR-146 gene whose expression i</w:t>
      </w:r>
      <w:r w:rsidR="00ED5809">
        <w:rPr>
          <w:rFonts w:ascii="Times New Roman" w:hAnsi="Times New Roman" w:cs="Times New Roman"/>
          <w:lang w:val="en-US"/>
        </w:rPr>
        <w:t>s</w:t>
      </w:r>
      <w:r w:rsidRPr="0014792C">
        <w:rPr>
          <w:rFonts w:ascii="Times New Roman" w:hAnsi="Times New Roman" w:cs="Times New Roman"/>
          <w:lang w:val="en-US"/>
        </w:rPr>
        <w:t xml:space="preserve"> mediate</w:t>
      </w:r>
      <w:r w:rsidR="00ED5809">
        <w:rPr>
          <w:rFonts w:ascii="Times New Roman" w:hAnsi="Times New Roman" w:cs="Times New Roman"/>
          <w:lang w:val="en-US"/>
        </w:rPr>
        <w:t>d</w:t>
      </w:r>
      <w:r w:rsidRPr="0014792C">
        <w:rPr>
          <w:rFonts w:ascii="Times New Roman" w:hAnsi="Times New Roman" w:cs="Times New Roman"/>
          <w:lang w:val="en-US"/>
        </w:rPr>
        <w:t xml:space="preserve"> by NF-</w:t>
      </w:r>
      <w:r w:rsidRPr="0014792C">
        <w:rPr>
          <w:rFonts w:ascii="Times New Roman" w:hAnsi="Times New Roman" w:cs="Times New Roman"/>
        </w:rPr>
        <w:t>κ</w:t>
      </w:r>
      <w:r w:rsidRPr="0014792C">
        <w:rPr>
          <w:rFonts w:ascii="Times New Roman" w:hAnsi="Times New Roman" w:cs="Times New Roman"/>
          <w:lang w:val="en-US"/>
        </w:rPr>
        <w:t>B itself. By counteracting the pro-inflammatory status associated with cellular senescence, miR-146a can exert anti-inflammatory effects [14].</w:t>
      </w:r>
    </w:p>
    <w:p w:rsidR="00862BD1" w:rsidRPr="00E23253" w:rsidRDefault="00862BD1" w:rsidP="005272A2">
      <w:pPr>
        <w:jc w:val="both"/>
        <w:rPr>
          <w:rFonts w:ascii="Times New Roman" w:hAnsi="Times New Roman" w:cs="Times New Roman"/>
          <w:b/>
          <w:lang w:val="en-US"/>
        </w:rPr>
      </w:pPr>
      <w:r w:rsidRPr="00E23253">
        <w:rPr>
          <w:rFonts w:ascii="Times New Roman" w:hAnsi="Times New Roman" w:cs="Times New Roman"/>
          <w:b/>
          <w:lang w:val="en-US"/>
        </w:rPr>
        <w:t xml:space="preserve">2. Materials and Methods </w:t>
      </w:r>
    </w:p>
    <w:p w:rsidR="00862BD1" w:rsidRPr="007206B7" w:rsidRDefault="00862BD1" w:rsidP="005272A2">
      <w:pPr>
        <w:jc w:val="both"/>
        <w:rPr>
          <w:rFonts w:ascii="Times New Roman" w:hAnsi="Times New Roman" w:cs="Times New Roman"/>
          <w:b/>
          <w:sz w:val="20"/>
          <w:szCs w:val="20"/>
          <w:lang w:val="en-US"/>
        </w:rPr>
      </w:pPr>
      <w:r w:rsidRPr="007206B7">
        <w:rPr>
          <w:rFonts w:ascii="Times New Roman" w:hAnsi="Times New Roman" w:cs="Times New Roman"/>
          <w:b/>
          <w:sz w:val="20"/>
          <w:szCs w:val="20"/>
          <w:lang w:val="en-US"/>
        </w:rPr>
        <w:t>2.1 Materials</w:t>
      </w:r>
    </w:p>
    <w:p w:rsidR="00E23253" w:rsidRDefault="00862BD1" w:rsidP="00E23253">
      <w:pPr>
        <w:pStyle w:val="Paragrafoelenco"/>
        <w:numPr>
          <w:ilvl w:val="0"/>
          <w:numId w:val="1"/>
        </w:numPr>
        <w:spacing w:line="240" w:lineRule="auto"/>
        <w:jc w:val="both"/>
        <w:rPr>
          <w:rFonts w:ascii="Times New Roman" w:hAnsi="Times New Roman" w:cs="Times New Roman"/>
          <w:lang w:val="en-US"/>
        </w:rPr>
      </w:pPr>
      <w:proofErr w:type="spellStart"/>
      <w:r w:rsidRPr="00E23253">
        <w:rPr>
          <w:rFonts w:ascii="Times New Roman" w:hAnsi="Times New Roman" w:cs="Times New Roman"/>
          <w:lang w:val="en-US"/>
        </w:rPr>
        <w:t>Phenion</w:t>
      </w:r>
      <w:proofErr w:type="spellEnd"/>
      <w:r w:rsidRPr="00E23253">
        <w:rPr>
          <w:rFonts w:ascii="Times New Roman" w:hAnsi="Times New Roman" w:cs="Times New Roman"/>
          <w:vertAlign w:val="superscript"/>
          <w:lang w:val="en-US"/>
        </w:rPr>
        <w:t xml:space="preserve">® </w:t>
      </w:r>
      <w:r w:rsidRPr="00E23253">
        <w:rPr>
          <w:rFonts w:ascii="Times New Roman" w:hAnsi="Times New Roman" w:cs="Times New Roman"/>
          <w:lang w:val="en-US"/>
        </w:rPr>
        <w:t xml:space="preserve">Full Thickness Skin Model, produced by Henkel (Düsseldorf, Germany, diameter 1.3 cm), cultivated at 37 °C and 5% CO2 with ALI Medium. In this model, epidermal keratinocytes and dermal </w:t>
      </w:r>
      <w:r w:rsidRPr="00E23253">
        <w:rPr>
          <w:rFonts w:ascii="Times New Roman" w:hAnsi="Times New Roman" w:cs="Times New Roman"/>
          <w:lang w:val="en-US"/>
        </w:rPr>
        <w:lastRenderedPageBreak/>
        <w:t xml:space="preserve">fibroblasts (from healthy donors) form a multilayered skin equivalent that resembles human skin under culture conditions. Fibroblasts are grown in a specialized stable matrix that does not contract under fibroblast traction forces. Keratinocytes are overlaid and within a few days, they develop an epidermis with clearly recognizable layers. Both the epidermis and dermis form a physiologically functional unit: the epidermis produces various markers of differentiation (CK10, filaggrin, transglutaminase, and </w:t>
      </w:r>
      <w:proofErr w:type="spellStart"/>
      <w:r w:rsidRPr="00E23253">
        <w:rPr>
          <w:rFonts w:ascii="Times New Roman" w:hAnsi="Times New Roman" w:cs="Times New Roman"/>
          <w:lang w:val="en-US"/>
        </w:rPr>
        <w:t>involucrin</w:t>
      </w:r>
      <w:proofErr w:type="spellEnd"/>
      <w:r w:rsidRPr="00E23253">
        <w:rPr>
          <w:rFonts w:ascii="Times New Roman" w:hAnsi="Times New Roman" w:cs="Times New Roman"/>
          <w:lang w:val="en-US"/>
        </w:rPr>
        <w:t>). The epidermal-dermal junction presents basal membrane proteins (laminin and collagen IV). In the dermal compartment, de novo synthesis of elastin and fibronectin has been demonstrated. The proliferative cells of the basal layer are identified by Ki-67 staining. This commercial model (</w:t>
      </w:r>
      <w:proofErr w:type="spellStart"/>
      <w:r w:rsidRPr="00E23253">
        <w:rPr>
          <w:rFonts w:ascii="Times New Roman" w:hAnsi="Times New Roman" w:cs="Times New Roman"/>
          <w:lang w:val="en-US"/>
        </w:rPr>
        <w:t>Phenion</w:t>
      </w:r>
      <w:proofErr w:type="spellEnd"/>
      <w:r w:rsidRPr="00E23253">
        <w:rPr>
          <w:rFonts w:ascii="Times New Roman" w:hAnsi="Times New Roman" w:cs="Times New Roman"/>
          <w:lang w:val="en-US"/>
        </w:rPr>
        <w:t>, Henkel) is validated for many applications in cosmetic efficacy and toxicology fields. For this study, the fibroblast and the keratinocytes derive from the same donor (no information about sex and age were supplied by the producer).</w:t>
      </w:r>
    </w:p>
    <w:p w:rsidR="00E23253" w:rsidRDefault="00862BD1" w:rsidP="00E23253">
      <w:pPr>
        <w:pStyle w:val="Paragrafoelenco"/>
        <w:numPr>
          <w:ilvl w:val="0"/>
          <w:numId w:val="1"/>
        </w:numPr>
        <w:spacing w:line="240" w:lineRule="auto"/>
        <w:jc w:val="both"/>
        <w:rPr>
          <w:rFonts w:ascii="Times New Roman" w:hAnsi="Times New Roman" w:cs="Times New Roman"/>
          <w:lang w:val="en-US"/>
        </w:rPr>
      </w:pPr>
      <w:r w:rsidRPr="00E23253">
        <w:rPr>
          <w:rFonts w:ascii="Times New Roman" w:hAnsi="Times New Roman" w:cs="Times New Roman"/>
        </w:rPr>
        <w:t>Isopalmide</w:t>
      </w:r>
      <w:r w:rsidRPr="00E23253">
        <w:rPr>
          <w:rFonts w:ascii="Times New Roman" w:hAnsi="Times New Roman" w:cs="Times New Roman"/>
          <w:vertAlign w:val="superscript"/>
        </w:rPr>
        <w:t>®</w:t>
      </w:r>
      <w:r w:rsidRPr="00E23253">
        <w:rPr>
          <w:rFonts w:ascii="Times New Roman" w:hAnsi="Times New Roman" w:cs="Times New Roman"/>
        </w:rPr>
        <w:t xml:space="preserve"> (</w:t>
      </w:r>
      <w:proofErr w:type="spellStart"/>
      <w:r w:rsidRPr="00E23253">
        <w:rPr>
          <w:rFonts w:ascii="Times New Roman" w:hAnsi="Times New Roman" w:cs="Times New Roman"/>
        </w:rPr>
        <w:t>Palmitoyl</w:t>
      </w:r>
      <w:proofErr w:type="spellEnd"/>
      <w:r w:rsidRPr="00E23253">
        <w:rPr>
          <w:rFonts w:ascii="Times New Roman" w:hAnsi="Times New Roman" w:cs="Times New Roman"/>
        </w:rPr>
        <w:t>-N-</w:t>
      </w:r>
      <w:proofErr w:type="spellStart"/>
      <w:r w:rsidRPr="00E23253">
        <w:rPr>
          <w:rFonts w:ascii="Times New Roman" w:hAnsi="Times New Roman" w:cs="Times New Roman"/>
        </w:rPr>
        <w:t>Isopropilamide</w:t>
      </w:r>
      <w:proofErr w:type="spellEnd"/>
      <w:r w:rsidRPr="00E23253">
        <w:rPr>
          <w:rFonts w:ascii="Times New Roman" w:hAnsi="Times New Roman" w:cs="Times New Roman"/>
        </w:rPr>
        <w:t xml:space="preserve">, UNIFARCO S.p.A.) </w:t>
      </w:r>
      <w:r w:rsidRPr="00E23253">
        <w:rPr>
          <w:rFonts w:ascii="Times New Roman" w:hAnsi="Times New Roman" w:cs="Times New Roman"/>
          <w:lang w:val="en-US"/>
        </w:rPr>
        <w:t>0,1% and 0,5% w/w in ultra-pure water.</w:t>
      </w:r>
    </w:p>
    <w:p w:rsidR="00E23253" w:rsidRDefault="00862BD1" w:rsidP="00E23253">
      <w:pPr>
        <w:pStyle w:val="Paragrafoelenco"/>
        <w:numPr>
          <w:ilvl w:val="0"/>
          <w:numId w:val="1"/>
        </w:numPr>
        <w:spacing w:line="240" w:lineRule="auto"/>
        <w:jc w:val="both"/>
        <w:rPr>
          <w:rFonts w:ascii="Times New Roman" w:hAnsi="Times New Roman" w:cs="Times New Roman"/>
        </w:rPr>
      </w:pPr>
      <w:proofErr w:type="spellStart"/>
      <w:r w:rsidRPr="00E23253">
        <w:rPr>
          <w:rFonts w:ascii="Times New Roman" w:hAnsi="Times New Roman" w:cs="Times New Roman"/>
        </w:rPr>
        <w:t>Anandamide</w:t>
      </w:r>
      <w:proofErr w:type="spellEnd"/>
      <w:r w:rsidRPr="00E23253">
        <w:rPr>
          <w:rFonts w:ascii="Times New Roman" w:hAnsi="Times New Roman" w:cs="Times New Roman"/>
        </w:rPr>
        <w:t xml:space="preserve"> (</w:t>
      </w:r>
      <w:proofErr w:type="spellStart"/>
      <w:r w:rsidRPr="00E23253">
        <w:rPr>
          <w:rFonts w:ascii="Times New Roman" w:hAnsi="Times New Roman" w:cs="Times New Roman"/>
        </w:rPr>
        <w:t>Arachidonoylethanolamide</w:t>
      </w:r>
      <w:proofErr w:type="spellEnd"/>
      <w:r w:rsidRPr="00E23253">
        <w:rPr>
          <w:rFonts w:ascii="Times New Roman" w:hAnsi="Times New Roman" w:cs="Times New Roman"/>
        </w:rPr>
        <w:t>, Sigma Aldrich) 0,5% w/w in ultra-pure water.</w:t>
      </w:r>
    </w:p>
    <w:p w:rsidR="00862BD1" w:rsidRPr="00E23253" w:rsidRDefault="00862BD1" w:rsidP="00E23253">
      <w:pPr>
        <w:pStyle w:val="Paragrafoelenco"/>
        <w:numPr>
          <w:ilvl w:val="0"/>
          <w:numId w:val="1"/>
        </w:numPr>
        <w:spacing w:line="240" w:lineRule="auto"/>
        <w:jc w:val="both"/>
        <w:rPr>
          <w:rFonts w:ascii="Times New Roman" w:hAnsi="Times New Roman" w:cs="Times New Roman"/>
          <w:lang w:val="en-US"/>
        </w:rPr>
      </w:pPr>
      <w:proofErr w:type="spellStart"/>
      <w:r w:rsidRPr="00E23253">
        <w:rPr>
          <w:rFonts w:ascii="Times New Roman" w:hAnsi="Times New Roman" w:cs="Times New Roman"/>
          <w:lang w:val="en-US"/>
        </w:rPr>
        <w:t>Ceramage</w:t>
      </w:r>
      <w:proofErr w:type="spellEnd"/>
      <w:r w:rsidRPr="00E23253">
        <w:rPr>
          <w:rFonts w:ascii="Times New Roman" w:hAnsi="Times New Roman" w:cs="Times New Roman"/>
          <w:vertAlign w:val="superscript"/>
          <w:lang w:val="en-US"/>
        </w:rPr>
        <w:t>®</w:t>
      </w:r>
      <w:r w:rsidRPr="00E23253">
        <w:rPr>
          <w:rFonts w:ascii="Times New Roman" w:hAnsi="Times New Roman" w:cs="Times New Roman"/>
          <w:lang w:val="en-US"/>
        </w:rPr>
        <w:t xml:space="preserve"> Fluid Concentrate (undisclosed formula, </w:t>
      </w:r>
      <w:r w:rsidRPr="002B1C1A">
        <w:rPr>
          <w:rFonts w:ascii="Times New Roman" w:hAnsi="Times New Roman" w:cs="Times New Roman"/>
          <w:noProof/>
          <w:lang w:val="en-US"/>
        </w:rPr>
        <w:t>UNIFARCO</w:t>
      </w:r>
      <w:r w:rsidRPr="00E23253">
        <w:rPr>
          <w:rFonts w:ascii="Times New Roman" w:hAnsi="Times New Roman" w:cs="Times New Roman"/>
          <w:lang w:val="en-US"/>
        </w:rPr>
        <w:t xml:space="preserve"> S.p.A.) containing 0,5% </w:t>
      </w:r>
      <w:proofErr w:type="spellStart"/>
      <w:r w:rsidRPr="00E23253">
        <w:rPr>
          <w:rFonts w:ascii="Times New Roman" w:hAnsi="Times New Roman" w:cs="Times New Roman"/>
          <w:lang w:val="en-US"/>
        </w:rPr>
        <w:t>Isopalmide</w:t>
      </w:r>
      <w:proofErr w:type="spellEnd"/>
      <w:r w:rsidRPr="00E23253">
        <w:rPr>
          <w:rFonts w:ascii="Times New Roman" w:hAnsi="Times New Roman" w:cs="Times New Roman"/>
          <w:vertAlign w:val="superscript"/>
          <w:lang w:val="en-US"/>
        </w:rPr>
        <w:t>®</w:t>
      </w:r>
      <w:r w:rsidRPr="00E23253">
        <w:rPr>
          <w:rFonts w:ascii="Times New Roman" w:hAnsi="Times New Roman" w:cs="Times New Roman"/>
          <w:lang w:val="en-US"/>
        </w:rPr>
        <w:t xml:space="preserve">. </w:t>
      </w:r>
    </w:p>
    <w:p w:rsidR="00862BD1" w:rsidRPr="007206B7" w:rsidRDefault="00862BD1" w:rsidP="005272A2">
      <w:pPr>
        <w:jc w:val="both"/>
        <w:rPr>
          <w:rFonts w:ascii="Times New Roman" w:hAnsi="Times New Roman" w:cs="Times New Roman"/>
          <w:b/>
          <w:sz w:val="20"/>
          <w:szCs w:val="20"/>
          <w:lang w:val="en-US"/>
        </w:rPr>
      </w:pPr>
      <w:r w:rsidRPr="007206B7">
        <w:rPr>
          <w:rFonts w:ascii="Times New Roman" w:hAnsi="Times New Roman" w:cs="Times New Roman"/>
          <w:b/>
          <w:sz w:val="20"/>
          <w:szCs w:val="20"/>
          <w:lang w:val="en-US"/>
        </w:rPr>
        <w:t>2.2 Methods</w:t>
      </w:r>
    </w:p>
    <w:p w:rsidR="00862BD1" w:rsidRPr="007206B7" w:rsidRDefault="00862BD1" w:rsidP="005272A2">
      <w:pPr>
        <w:jc w:val="both"/>
        <w:rPr>
          <w:rFonts w:ascii="Times New Roman" w:hAnsi="Times New Roman" w:cs="Times New Roman"/>
          <w:b/>
          <w:sz w:val="20"/>
          <w:szCs w:val="20"/>
          <w:lang w:val="en-US"/>
        </w:rPr>
      </w:pPr>
      <w:r w:rsidRPr="007206B7">
        <w:rPr>
          <w:rFonts w:ascii="Times New Roman" w:hAnsi="Times New Roman" w:cs="Times New Roman"/>
          <w:b/>
          <w:sz w:val="20"/>
          <w:szCs w:val="20"/>
          <w:lang w:val="en-US"/>
        </w:rPr>
        <w:t>2.</w:t>
      </w:r>
      <w:r w:rsidR="00B264C0" w:rsidRPr="007206B7">
        <w:rPr>
          <w:rFonts w:ascii="Times New Roman" w:hAnsi="Times New Roman" w:cs="Times New Roman"/>
          <w:b/>
          <w:sz w:val="20"/>
          <w:szCs w:val="20"/>
          <w:lang w:val="en-US"/>
        </w:rPr>
        <w:t>2.1</w:t>
      </w:r>
      <w:r w:rsidRPr="007206B7">
        <w:rPr>
          <w:rFonts w:ascii="Times New Roman" w:hAnsi="Times New Roman" w:cs="Times New Roman"/>
          <w:b/>
          <w:sz w:val="20"/>
          <w:szCs w:val="20"/>
          <w:lang w:val="en-US"/>
        </w:rPr>
        <w:t xml:space="preserve"> Quantitative Real-Time PCR Analysis</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t xml:space="preserve">Quantitative analysis of gene expression by </w:t>
      </w:r>
      <w:proofErr w:type="spellStart"/>
      <w:r w:rsidRPr="0014792C">
        <w:rPr>
          <w:rFonts w:ascii="Times New Roman" w:hAnsi="Times New Roman" w:cs="Times New Roman"/>
          <w:lang w:val="en-US"/>
        </w:rPr>
        <w:t>qRT</w:t>
      </w:r>
      <w:proofErr w:type="spellEnd"/>
      <w:r w:rsidRPr="0014792C">
        <w:rPr>
          <w:rFonts w:ascii="Times New Roman" w:hAnsi="Times New Roman" w:cs="Times New Roman"/>
          <w:lang w:val="en-US"/>
        </w:rPr>
        <w:t xml:space="preserve">-PCR was performed on total RNA extracted by </w:t>
      </w:r>
      <w:proofErr w:type="spellStart"/>
      <w:r w:rsidRPr="0014792C">
        <w:rPr>
          <w:rFonts w:ascii="Times New Roman" w:hAnsi="Times New Roman" w:cs="Times New Roman"/>
          <w:lang w:val="en-US"/>
        </w:rPr>
        <w:t>RNAqueous</w:t>
      </w:r>
      <w:proofErr w:type="spellEnd"/>
      <w:r w:rsidRPr="0014792C">
        <w:rPr>
          <w:rFonts w:ascii="Times New Roman" w:hAnsi="Times New Roman" w:cs="Times New Roman"/>
          <w:lang w:val="en-US"/>
        </w:rPr>
        <w:t xml:space="preserve"> kit (</w:t>
      </w:r>
      <w:proofErr w:type="spellStart"/>
      <w:r w:rsidRPr="0014792C">
        <w:rPr>
          <w:rFonts w:ascii="Times New Roman" w:hAnsi="Times New Roman" w:cs="Times New Roman"/>
          <w:lang w:val="en-US"/>
        </w:rPr>
        <w:t>Ambion</w:t>
      </w:r>
      <w:proofErr w:type="spellEnd"/>
      <w:r w:rsidRPr="0014792C">
        <w:rPr>
          <w:rFonts w:ascii="Times New Roman" w:hAnsi="Times New Roman" w:cs="Times New Roman"/>
          <w:lang w:val="en-US"/>
        </w:rPr>
        <w:t xml:space="preserve">) and on miRNA extracted by </w:t>
      </w:r>
      <w:proofErr w:type="spellStart"/>
      <w:r w:rsidRPr="0014792C">
        <w:rPr>
          <w:rFonts w:ascii="Times New Roman" w:hAnsi="Times New Roman" w:cs="Times New Roman"/>
          <w:lang w:val="en-US"/>
        </w:rPr>
        <w:t>mirVANA</w:t>
      </w:r>
      <w:proofErr w:type="spellEnd"/>
      <w:r w:rsidRPr="0014792C">
        <w:rPr>
          <w:rFonts w:ascii="Times New Roman" w:hAnsi="Times New Roman" w:cs="Times New Roman"/>
          <w:lang w:val="en-US"/>
        </w:rPr>
        <w:t xml:space="preserve"> kit (</w:t>
      </w:r>
      <w:proofErr w:type="spellStart"/>
      <w:r w:rsidRPr="0014792C">
        <w:rPr>
          <w:rFonts w:ascii="Times New Roman" w:hAnsi="Times New Roman" w:cs="Times New Roman"/>
          <w:lang w:val="en-US"/>
        </w:rPr>
        <w:t>Ambion</w:t>
      </w:r>
      <w:proofErr w:type="spellEnd"/>
      <w:r w:rsidRPr="0014792C">
        <w:rPr>
          <w:rFonts w:ascii="Times New Roman" w:hAnsi="Times New Roman" w:cs="Times New Roman"/>
          <w:lang w:val="en-US"/>
        </w:rPr>
        <w:t xml:space="preserve">) following the producer’s instructions. After </w:t>
      </w:r>
      <w:proofErr w:type="spellStart"/>
      <w:r w:rsidRPr="0014792C">
        <w:rPr>
          <w:rFonts w:ascii="Times New Roman" w:hAnsi="Times New Roman" w:cs="Times New Roman"/>
          <w:lang w:val="en-US"/>
        </w:rPr>
        <w:t>retrotranscription</w:t>
      </w:r>
      <w:proofErr w:type="spellEnd"/>
      <w:r w:rsidRPr="0014792C">
        <w:rPr>
          <w:rFonts w:ascii="Times New Roman" w:hAnsi="Times New Roman" w:cs="Times New Roman"/>
          <w:lang w:val="en-US"/>
        </w:rPr>
        <w:t xml:space="preserve"> using the High Capacity kit (Invitrogen), the produced cDNA has been used for relative quantification PCR by using TaqMan Master Mix and gene assays (Invitrogen) referenced in Table 1. </w:t>
      </w:r>
    </w:p>
    <w:p w:rsidR="00862BD1" w:rsidRPr="0014792C" w:rsidRDefault="00862BD1" w:rsidP="00B264C0">
      <w:pPr>
        <w:spacing w:line="240" w:lineRule="auto"/>
        <w:jc w:val="both"/>
        <w:rPr>
          <w:rFonts w:ascii="Times New Roman" w:hAnsi="Times New Roman" w:cs="Times New Roman"/>
          <w:lang w:val="en-US"/>
        </w:rPr>
      </w:pPr>
      <w:r w:rsidRPr="0014792C">
        <w:rPr>
          <w:rFonts w:ascii="Times New Roman" w:hAnsi="Times New Roman" w:cs="Times New Roman"/>
          <w:lang w:val="en-US"/>
        </w:rPr>
        <w:t xml:space="preserve">For data analysis, the relative quantification value (RQ) was accepted as significant when the gene expression is “one-fold” up (RQ&gt;2) or down-regulated (RQ&lt;0,5) compared to the calibrator sample (RQ=1). The internal instrument level of confidence used is 95%. </w:t>
      </w:r>
    </w:p>
    <w:p w:rsidR="00862BD1" w:rsidRPr="007206B7" w:rsidRDefault="00862BD1" w:rsidP="005272A2">
      <w:pPr>
        <w:jc w:val="both"/>
        <w:rPr>
          <w:rFonts w:ascii="Times New Roman" w:hAnsi="Times New Roman" w:cs="Times New Roman"/>
          <w:b/>
          <w:sz w:val="20"/>
          <w:szCs w:val="20"/>
          <w:lang w:val="en-US"/>
        </w:rPr>
      </w:pPr>
      <w:r w:rsidRPr="007206B7">
        <w:rPr>
          <w:rFonts w:ascii="Times New Roman" w:hAnsi="Times New Roman" w:cs="Times New Roman"/>
          <w:b/>
          <w:sz w:val="20"/>
          <w:szCs w:val="20"/>
          <w:lang w:val="en-US"/>
        </w:rPr>
        <w:t>2.2</w:t>
      </w:r>
      <w:r w:rsidR="00B264C0" w:rsidRPr="007206B7">
        <w:rPr>
          <w:rFonts w:ascii="Times New Roman" w:hAnsi="Times New Roman" w:cs="Times New Roman"/>
          <w:b/>
          <w:sz w:val="20"/>
          <w:szCs w:val="20"/>
          <w:lang w:val="en-US"/>
        </w:rPr>
        <w:t>.2</w:t>
      </w:r>
      <w:r w:rsidRPr="007206B7">
        <w:rPr>
          <w:rFonts w:ascii="Times New Roman" w:hAnsi="Times New Roman" w:cs="Times New Roman"/>
          <w:b/>
          <w:sz w:val="20"/>
          <w:szCs w:val="20"/>
          <w:lang w:val="en-US"/>
        </w:rPr>
        <w:t xml:space="preserve"> LDH release</w:t>
      </w:r>
    </w:p>
    <w:p w:rsidR="00B264C0" w:rsidRDefault="00862BD1" w:rsidP="00B264C0">
      <w:pPr>
        <w:spacing w:line="240" w:lineRule="auto"/>
        <w:jc w:val="both"/>
        <w:rPr>
          <w:rFonts w:ascii="Times New Roman" w:hAnsi="Times New Roman" w:cs="Times New Roman"/>
          <w:lang w:val="en-US"/>
        </w:rPr>
      </w:pPr>
      <w:r w:rsidRPr="0014792C">
        <w:rPr>
          <w:rFonts w:ascii="Times New Roman" w:hAnsi="Times New Roman" w:cs="Times New Roman"/>
          <w:lang w:val="en-US"/>
        </w:rPr>
        <w:t xml:space="preserve">A commercially available kit (Cytotoxicity Detection Kit-LDH, Roche) was used to quantify the LDH released in culture media by a </w:t>
      </w:r>
      <w:r w:rsidRPr="002B1C1A">
        <w:rPr>
          <w:rFonts w:ascii="Times New Roman" w:hAnsi="Times New Roman" w:cs="Times New Roman"/>
          <w:noProof/>
          <w:lang w:val="en-US"/>
        </w:rPr>
        <w:t>colorimetric</w:t>
      </w:r>
      <w:r w:rsidRPr="0014792C">
        <w:rPr>
          <w:rFonts w:ascii="Times New Roman" w:hAnsi="Times New Roman" w:cs="Times New Roman"/>
          <w:lang w:val="en-US"/>
        </w:rPr>
        <w:t xml:space="preserve"> assay based on formazan salt detection (</w:t>
      </w:r>
      <w:r w:rsidRPr="0014792C">
        <w:rPr>
          <w:rFonts w:ascii="Times New Roman" w:hAnsi="Times New Roman" w:cs="Times New Roman"/>
        </w:rPr>
        <w:t>λ</w:t>
      </w:r>
      <w:r w:rsidRPr="0014792C">
        <w:rPr>
          <w:rFonts w:ascii="Times New Roman" w:hAnsi="Times New Roman" w:cs="Times New Roman"/>
          <w:lang w:val="en-US"/>
        </w:rPr>
        <w:t xml:space="preserve"> 492 nm with reference at 690 nm). The culture media were collected and </w:t>
      </w:r>
      <w:r w:rsidR="00931936" w:rsidRPr="0014792C">
        <w:rPr>
          <w:rFonts w:ascii="Times New Roman" w:hAnsi="Times New Roman" w:cs="Times New Roman"/>
          <w:lang w:val="en-US"/>
        </w:rPr>
        <w:t>analyzed</w:t>
      </w:r>
      <w:r w:rsidRPr="0014792C">
        <w:rPr>
          <w:rFonts w:ascii="Times New Roman" w:hAnsi="Times New Roman" w:cs="Times New Roman"/>
          <w:lang w:val="en-US"/>
        </w:rPr>
        <w:t xml:space="preserve"> following the producer’s instructions. An increase in the amount of dead or plasma membrane-damaged cells results in an increase of the LDH enzyme activity in the culture media, which directly correlates with the amount of formazan formed during a defined time period measuring the number of lysed cells.</w:t>
      </w:r>
    </w:p>
    <w:p w:rsidR="00862BD1" w:rsidRPr="007206B7" w:rsidRDefault="00862BD1" w:rsidP="00B264C0">
      <w:pPr>
        <w:spacing w:line="240" w:lineRule="auto"/>
        <w:jc w:val="both"/>
        <w:rPr>
          <w:rFonts w:ascii="Times New Roman" w:hAnsi="Times New Roman" w:cs="Times New Roman"/>
          <w:b/>
          <w:sz w:val="20"/>
          <w:szCs w:val="20"/>
          <w:lang w:val="en-US"/>
        </w:rPr>
      </w:pPr>
      <w:r w:rsidRPr="007206B7">
        <w:rPr>
          <w:rFonts w:ascii="Times New Roman" w:hAnsi="Times New Roman" w:cs="Times New Roman"/>
          <w:b/>
          <w:sz w:val="20"/>
          <w:szCs w:val="20"/>
          <w:lang w:val="en-US"/>
        </w:rPr>
        <w:t>2.</w:t>
      </w:r>
      <w:r w:rsidR="00B264C0" w:rsidRPr="007206B7">
        <w:rPr>
          <w:rFonts w:ascii="Times New Roman" w:hAnsi="Times New Roman" w:cs="Times New Roman"/>
          <w:b/>
          <w:sz w:val="20"/>
          <w:szCs w:val="20"/>
          <w:lang w:val="en-US"/>
        </w:rPr>
        <w:t>2.</w:t>
      </w:r>
      <w:r w:rsidRPr="007206B7">
        <w:rPr>
          <w:rFonts w:ascii="Times New Roman" w:hAnsi="Times New Roman" w:cs="Times New Roman"/>
          <w:b/>
          <w:sz w:val="20"/>
          <w:szCs w:val="20"/>
          <w:lang w:val="en-US"/>
        </w:rPr>
        <w:t xml:space="preserve">3 </w:t>
      </w:r>
      <w:proofErr w:type="spellStart"/>
      <w:r w:rsidRPr="007206B7">
        <w:rPr>
          <w:rFonts w:ascii="Times New Roman" w:hAnsi="Times New Roman" w:cs="Times New Roman"/>
          <w:b/>
          <w:sz w:val="20"/>
          <w:szCs w:val="20"/>
          <w:lang w:val="en-US"/>
        </w:rPr>
        <w:t>Histo</w:t>
      </w:r>
      <w:proofErr w:type="spellEnd"/>
      <w:r w:rsidRPr="007206B7">
        <w:rPr>
          <w:rFonts w:ascii="Times New Roman" w:hAnsi="Times New Roman" w:cs="Times New Roman"/>
          <w:b/>
          <w:sz w:val="20"/>
          <w:szCs w:val="20"/>
          <w:lang w:val="en-US"/>
        </w:rPr>
        <w:t>-morphological analysis</w:t>
      </w:r>
    </w:p>
    <w:p w:rsidR="00862BD1" w:rsidRPr="0014792C" w:rsidRDefault="00862BD1" w:rsidP="00B264C0">
      <w:pPr>
        <w:spacing w:line="240" w:lineRule="auto"/>
        <w:jc w:val="both"/>
        <w:rPr>
          <w:rFonts w:ascii="Times New Roman" w:hAnsi="Times New Roman" w:cs="Times New Roman"/>
          <w:lang w:val="en-US"/>
        </w:rPr>
      </w:pPr>
      <w:r w:rsidRPr="0014792C">
        <w:rPr>
          <w:rFonts w:ascii="Times New Roman" w:hAnsi="Times New Roman" w:cs="Times New Roman"/>
          <w:lang w:val="en-US"/>
        </w:rPr>
        <w:t xml:space="preserve">At the end of the treatment, tissues were fixed in 4% formalin in PBS. Samples were included in paraffin blocks and sections of 5 </w:t>
      </w:r>
      <w:r w:rsidRPr="0014792C">
        <w:rPr>
          <w:rFonts w:ascii="Times New Roman" w:hAnsi="Times New Roman" w:cs="Times New Roman"/>
        </w:rPr>
        <w:t>μ</w:t>
      </w:r>
      <w:r w:rsidRPr="0014792C">
        <w:rPr>
          <w:rFonts w:ascii="Times New Roman" w:hAnsi="Times New Roman" w:cs="Times New Roman"/>
          <w:lang w:val="en-US"/>
        </w:rPr>
        <w:t xml:space="preserve">m were obtained. Slides were stained with </w:t>
      </w:r>
      <w:proofErr w:type="spellStart"/>
      <w:r w:rsidRPr="0014792C">
        <w:rPr>
          <w:rFonts w:ascii="Times New Roman" w:hAnsi="Times New Roman" w:cs="Times New Roman"/>
          <w:lang w:val="en-US"/>
        </w:rPr>
        <w:t>Haematoxylin</w:t>
      </w:r>
      <w:proofErr w:type="spellEnd"/>
      <w:r w:rsidRPr="0014792C">
        <w:rPr>
          <w:rFonts w:ascii="Times New Roman" w:hAnsi="Times New Roman" w:cs="Times New Roman"/>
          <w:lang w:val="en-US"/>
        </w:rPr>
        <w:t xml:space="preserve"> and Eosin following internal procedures and the histological samples were </w:t>
      </w:r>
      <w:r w:rsidR="003807DE" w:rsidRPr="0014792C">
        <w:rPr>
          <w:rFonts w:ascii="Times New Roman" w:hAnsi="Times New Roman" w:cs="Times New Roman"/>
          <w:lang w:val="en-US"/>
        </w:rPr>
        <w:t>analyzed</w:t>
      </w:r>
      <w:r w:rsidRPr="0014792C">
        <w:rPr>
          <w:rFonts w:ascii="Times New Roman" w:hAnsi="Times New Roman" w:cs="Times New Roman"/>
          <w:lang w:val="en-US"/>
        </w:rPr>
        <w:t xml:space="preserve"> under bright field microscopy (20x).</w:t>
      </w:r>
    </w:p>
    <w:p w:rsidR="00862BD1" w:rsidRPr="00B264C0" w:rsidRDefault="00862BD1" w:rsidP="005272A2">
      <w:pPr>
        <w:jc w:val="both"/>
        <w:rPr>
          <w:rFonts w:ascii="Times New Roman" w:hAnsi="Times New Roman" w:cs="Times New Roman"/>
          <w:b/>
          <w:lang w:val="en-US"/>
        </w:rPr>
      </w:pPr>
      <w:r w:rsidRPr="00B264C0">
        <w:rPr>
          <w:rFonts w:ascii="Times New Roman" w:hAnsi="Times New Roman" w:cs="Times New Roman"/>
          <w:b/>
          <w:lang w:val="en-US"/>
        </w:rPr>
        <w:t>3. Experimental design</w:t>
      </w:r>
    </w:p>
    <w:p w:rsidR="00862BD1" w:rsidRPr="0014792C" w:rsidRDefault="00862BD1" w:rsidP="00B264C0">
      <w:pPr>
        <w:spacing w:line="240" w:lineRule="auto"/>
        <w:jc w:val="both"/>
        <w:rPr>
          <w:rFonts w:ascii="Times New Roman" w:hAnsi="Times New Roman" w:cs="Times New Roman"/>
          <w:lang w:val="en-US"/>
        </w:rPr>
      </w:pPr>
      <w:r w:rsidRPr="0014792C">
        <w:rPr>
          <w:rFonts w:ascii="Times New Roman" w:hAnsi="Times New Roman" w:cs="Times New Roman"/>
          <w:lang w:val="en-US"/>
        </w:rPr>
        <w:t>The FT-skin models were removed from the semi-solid transport medium and cultivated according to the supplier’s instructions using the ALI</w:t>
      </w:r>
      <w:r w:rsidRPr="00E75A9E">
        <w:rPr>
          <w:rFonts w:ascii="Times New Roman" w:hAnsi="Times New Roman" w:cs="Times New Roman"/>
          <w:vertAlign w:val="superscript"/>
          <w:lang w:val="en-US"/>
        </w:rPr>
        <w:t>®</w:t>
      </w:r>
      <w:r w:rsidRPr="0014792C">
        <w:rPr>
          <w:rFonts w:ascii="Times New Roman" w:hAnsi="Times New Roman" w:cs="Times New Roman"/>
          <w:lang w:val="en-US"/>
        </w:rPr>
        <w:t xml:space="preserve"> culture medium. The FT-skin tissues were stressed at the epidermal level by a light mechanical stress in order to induce a keratinocyte mediated inflammatory response. Light mechanical abrasion was performed ab</w:t>
      </w:r>
      <w:r w:rsidR="00B1416D">
        <w:rPr>
          <w:rFonts w:ascii="Times New Roman" w:hAnsi="Times New Roman" w:cs="Times New Roman"/>
          <w:lang w:val="en-US"/>
        </w:rPr>
        <w:t>r</w:t>
      </w:r>
      <w:r w:rsidRPr="0014792C">
        <w:rPr>
          <w:rFonts w:ascii="Times New Roman" w:hAnsi="Times New Roman" w:cs="Times New Roman"/>
          <w:lang w:val="en-US"/>
        </w:rPr>
        <w:t>a</w:t>
      </w:r>
      <w:r w:rsidR="007B47E3">
        <w:rPr>
          <w:rFonts w:ascii="Times New Roman" w:hAnsi="Times New Roman" w:cs="Times New Roman"/>
          <w:lang w:val="en-US"/>
        </w:rPr>
        <w:t>d</w:t>
      </w:r>
      <w:r w:rsidRPr="0014792C">
        <w:rPr>
          <w:rFonts w:ascii="Times New Roman" w:hAnsi="Times New Roman" w:cs="Times New Roman"/>
          <w:lang w:val="en-US"/>
        </w:rPr>
        <w:t xml:space="preserve">ing the surface with </w:t>
      </w:r>
      <w:proofErr w:type="spellStart"/>
      <w:r w:rsidRPr="0014792C">
        <w:rPr>
          <w:rFonts w:ascii="Times New Roman" w:hAnsi="Times New Roman" w:cs="Times New Roman"/>
          <w:lang w:val="en-US"/>
        </w:rPr>
        <w:t>Algerbrush</w:t>
      </w:r>
      <w:proofErr w:type="spellEnd"/>
      <w:r w:rsidRPr="0014792C">
        <w:rPr>
          <w:rFonts w:ascii="Times New Roman" w:hAnsi="Times New Roman" w:cs="Times New Roman"/>
          <w:lang w:val="en-US"/>
        </w:rPr>
        <w:t xml:space="preserve"> following internal standardized procedure in order to activate the inflammatory response without damaging stratum corneum. The FT-skin models were then irradiated with 12 J/cm2 UVA (positive control: UVA) and the formulations/actives were topically applied (50 µL) on the epidermal surface for 6 hours after irradiation. At the end of the exposure the FT skin models were collected and the gene expression was quantified by TaqMan assays for the following genes:</w:t>
      </w:r>
    </w:p>
    <w:p w:rsidR="00862BD1" w:rsidRPr="0014792C" w:rsidRDefault="00862BD1" w:rsidP="00B264C0">
      <w:pPr>
        <w:spacing w:line="240" w:lineRule="auto"/>
        <w:jc w:val="both"/>
        <w:rPr>
          <w:rFonts w:ascii="Times New Roman" w:hAnsi="Times New Roman" w:cs="Times New Roman"/>
          <w:lang w:val="en-US"/>
        </w:rPr>
      </w:pPr>
      <w:r w:rsidRPr="0014792C">
        <w:rPr>
          <w:rFonts w:ascii="Times New Roman" w:hAnsi="Times New Roman" w:cs="Times New Roman"/>
          <w:lang w:val="en-US"/>
        </w:rPr>
        <w:t>•</w:t>
      </w:r>
      <w:r w:rsidRPr="0014792C">
        <w:rPr>
          <w:rFonts w:ascii="Times New Roman" w:hAnsi="Times New Roman" w:cs="Times New Roman"/>
          <w:lang w:val="en-US"/>
        </w:rPr>
        <w:tab/>
        <w:t>miRNA: miR-21, miR-126, miR-146a</w:t>
      </w:r>
    </w:p>
    <w:p w:rsidR="00862BD1" w:rsidRPr="0014792C" w:rsidRDefault="00862BD1" w:rsidP="00B264C0">
      <w:pPr>
        <w:spacing w:line="240" w:lineRule="auto"/>
        <w:jc w:val="both"/>
        <w:rPr>
          <w:rFonts w:ascii="Times New Roman" w:hAnsi="Times New Roman" w:cs="Times New Roman"/>
          <w:lang w:val="en-US"/>
        </w:rPr>
      </w:pPr>
      <w:r w:rsidRPr="0014792C">
        <w:rPr>
          <w:rFonts w:ascii="Times New Roman" w:hAnsi="Times New Roman" w:cs="Times New Roman"/>
          <w:lang w:val="en-US"/>
        </w:rPr>
        <w:t>•</w:t>
      </w:r>
      <w:r w:rsidRPr="0014792C">
        <w:rPr>
          <w:rFonts w:ascii="Times New Roman" w:hAnsi="Times New Roman" w:cs="Times New Roman"/>
          <w:lang w:val="en-US"/>
        </w:rPr>
        <w:tab/>
        <w:t>RNA: IKK-</w:t>
      </w:r>
      <w:r w:rsidRPr="0014792C">
        <w:rPr>
          <w:rFonts w:ascii="Times New Roman" w:hAnsi="Times New Roman" w:cs="Times New Roman"/>
        </w:rPr>
        <w:t>α</w:t>
      </w:r>
      <w:r w:rsidRPr="0014792C">
        <w:rPr>
          <w:rFonts w:ascii="Times New Roman" w:hAnsi="Times New Roman" w:cs="Times New Roman"/>
          <w:lang w:val="en-US"/>
        </w:rPr>
        <w:t xml:space="preserve"> (CHUK), IKK-</w:t>
      </w:r>
      <w:r w:rsidRPr="0014792C">
        <w:rPr>
          <w:rFonts w:ascii="Times New Roman" w:hAnsi="Times New Roman" w:cs="Times New Roman"/>
        </w:rPr>
        <w:t>γ</w:t>
      </w:r>
      <w:r w:rsidRPr="0014792C">
        <w:rPr>
          <w:rFonts w:ascii="Times New Roman" w:hAnsi="Times New Roman" w:cs="Times New Roman"/>
          <w:lang w:val="en-US"/>
        </w:rPr>
        <w:t xml:space="preserve"> (IKBKG), NF-</w:t>
      </w:r>
      <w:r w:rsidRPr="0014792C">
        <w:rPr>
          <w:rFonts w:ascii="Times New Roman" w:hAnsi="Times New Roman" w:cs="Times New Roman"/>
        </w:rPr>
        <w:t>κ</w:t>
      </w:r>
      <w:r w:rsidRPr="0014792C">
        <w:rPr>
          <w:rFonts w:ascii="Times New Roman" w:hAnsi="Times New Roman" w:cs="Times New Roman"/>
          <w:lang w:val="en-US"/>
        </w:rPr>
        <w:t>B</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lastRenderedPageBreak/>
        <w:t>Media were collected for toxicity evaluation by LDH release and tissue were fixed in 4% formalin for further histological evaluation.</w:t>
      </w:r>
    </w:p>
    <w:p w:rsidR="00862BD1" w:rsidRPr="0014792C" w:rsidRDefault="00862BD1" w:rsidP="00B264C0">
      <w:pPr>
        <w:spacing w:line="240" w:lineRule="auto"/>
        <w:jc w:val="both"/>
        <w:rPr>
          <w:rFonts w:ascii="Times New Roman" w:hAnsi="Times New Roman" w:cs="Times New Roman"/>
          <w:lang w:val="en-US"/>
        </w:rPr>
      </w:pPr>
      <w:r w:rsidRPr="0014792C">
        <w:rPr>
          <w:rFonts w:ascii="Times New Roman" w:hAnsi="Times New Roman" w:cs="Times New Roman"/>
          <w:lang w:val="en-US"/>
        </w:rPr>
        <w:t xml:space="preserve">In this study, the data of gene expression have been evaluated on the basis of internal validation which confirms a low variability of the model and a good reproducibility of irradiation protocols, as reported by M. Meloni et al </w:t>
      </w:r>
      <w:proofErr w:type="spellStart"/>
      <w:r w:rsidRPr="0014792C">
        <w:rPr>
          <w:rFonts w:ascii="Times New Roman" w:hAnsi="Times New Roman" w:cs="Times New Roman"/>
          <w:lang w:val="en-US"/>
        </w:rPr>
        <w:t>Photochem</w:t>
      </w:r>
      <w:proofErr w:type="spellEnd"/>
      <w:r w:rsidRPr="0014792C">
        <w:rPr>
          <w:rFonts w:ascii="Times New Roman" w:hAnsi="Times New Roman" w:cs="Times New Roman"/>
          <w:lang w:val="en-US"/>
        </w:rPr>
        <w:t xml:space="preserve">. </w:t>
      </w:r>
      <w:proofErr w:type="spellStart"/>
      <w:r w:rsidRPr="0014792C">
        <w:rPr>
          <w:rFonts w:ascii="Times New Roman" w:hAnsi="Times New Roman" w:cs="Times New Roman"/>
          <w:lang w:val="en-US"/>
        </w:rPr>
        <w:t>Photobiol</w:t>
      </w:r>
      <w:proofErr w:type="spellEnd"/>
      <w:r w:rsidRPr="0014792C">
        <w:rPr>
          <w:rFonts w:ascii="Times New Roman" w:hAnsi="Times New Roman" w:cs="Times New Roman"/>
          <w:lang w:val="en-US"/>
        </w:rPr>
        <w:t>. Sci., 2010, 9, 439–447.</w:t>
      </w:r>
    </w:p>
    <w:p w:rsidR="00862BD1" w:rsidRPr="00B264C0" w:rsidRDefault="00862BD1" w:rsidP="005272A2">
      <w:pPr>
        <w:jc w:val="both"/>
        <w:rPr>
          <w:rFonts w:ascii="Times New Roman" w:hAnsi="Times New Roman" w:cs="Times New Roman"/>
          <w:b/>
          <w:lang w:val="en-US"/>
        </w:rPr>
      </w:pPr>
      <w:r w:rsidRPr="00B264C0">
        <w:rPr>
          <w:rFonts w:ascii="Times New Roman" w:hAnsi="Times New Roman" w:cs="Times New Roman"/>
          <w:b/>
          <w:lang w:val="en-US"/>
        </w:rPr>
        <w:t>4. Results and Discussion</w:t>
      </w:r>
    </w:p>
    <w:p w:rsidR="00862BD1" w:rsidRPr="007206B7" w:rsidRDefault="00862BD1" w:rsidP="005272A2">
      <w:pPr>
        <w:jc w:val="both"/>
        <w:rPr>
          <w:rFonts w:ascii="Times New Roman" w:hAnsi="Times New Roman" w:cs="Times New Roman"/>
          <w:b/>
          <w:sz w:val="20"/>
          <w:szCs w:val="20"/>
          <w:lang w:val="en-US"/>
        </w:rPr>
      </w:pPr>
      <w:r w:rsidRPr="007206B7">
        <w:rPr>
          <w:rFonts w:ascii="Times New Roman" w:hAnsi="Times New Roman" w:cs="Times New Roman"/>
          <w:b/>
          <w:sz w:val="20"/>
          <w:szCs w:val="20"/>
          <w:lang w:val="en-US"/>
        </w:rPr>
        <w:t>4.1 Quantitative Real-Time PCR Analysis Results</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t xml:space="preserve">The miRNA and RNA gene expression </w:t>
      </w:r>
      <w:proofErr w:type="gramStart"/>
      <w:r w:rsidRPr="0014792C">
        <w:rPr>
          <w:rFonts w:ascii="Times New Roman" w:hAnsi="Times New Roman" w:cs="Times New Roman"/>
          <w:lang w:val="en-US"/>
        </w:rPr>
        <w:t>was</w:t>
      </w:r>
      <w:proofErr w:type="gramEnd"/>
      <w:r w:rsidRPr="0014792C">
        <w:rPr>
          <w:rFonts w:ascii="Times New Roman" w:hAnsi="Times New Roman" w:cs="Times New Roman"/>
          <w:lang w:val="en-US"/>
        </w:rPr>
        <w:t xml:space="preserve"> measured after 6 hours treatment with the test items compared to the positive control (brushed and irradiated sample). Calibrator sample is the negative control, which is fixed at 1 in order to measure the expression of the genes. All the treated samples show an anti-inflammatory efficacy with different effects on miRNA and mRNA expression, as shown in Figures 3 and 4.</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t>The predictivity of the “</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stress model” induced by UVA, on the FT skin model, has been assessed by gene expression analysis in stressed (positive control) samples. As shown in Figures 3 and 4 the UVA induces an upregulation of </w:t>
      </w:r>
      <w:r w:rsidRPr="00782F15">
        <w:rPr>
          <w:rFonts w:ascii="Times New Roman" w:hAnsi="Times New Roman" w:cs="Times New Roman"/>
          <w:i/>
          <w:lang w:val="en-US"/>
        </w:rPr>
        <w:t>miR-21</w:t>
      </w:r>
      <w:r w:rsidRPr="0014792C">
        <w:rPr>
          <w:rFonts w:ascii="Times New Roman" w:hAnsi="Times New Roman" w:cs="Times New Roman"/>
          <w:lang w:val="en-US"/>
        </w:rPr>
        <w:t xml:space="preserve">, that leads to a pro-inflammatory response by </w:t>
      </w:r>
      <w:r w:rsidRPr="00782F15">
        <w:rPr>
          <w:rFonts w:ascii="Times New Roman" w:hAnsi="Times New Roman" w:cs="Times New Roman"/>
          <w:i/>
          <w:lang w:val="en-US"/>
        </w:rPr>
        <w:t>NF-</w:t>
      </w:r>
      <w:r w:rsidRPr="00782F15">
        <w:rPr>
          <w:rFonts w:ascii="Times New Roman" w:hAnsi="Times New Roman" w:cs="Times New Roman"/>
          <w:i/>
        </w:rPr>
        <w:t>κ</w:t>
      </w:r>
      <w:r w:rsidRPr="00782F15">
        <w:rPr>
          <w:rFonts w:ascii="Times New Roman" w:hAnsi="Times New Roman" w:cs="Times New Roman"/>
          <w:i/>
          <w:lang w:val="en-US"/>
        </w:rPr>
        <w:t>B</w:t>
      </w:r>
      <w:r w:rsidRPr="0014792C">
        <w:rPr>
          <w:rFonts w:ascii="Times New Roman" w:hAnsi="Times New Roman" w:cs="Times New Roman"/>
          <w:lang w:val="en-US"/>
        </w:rPr>
        <w:t xml:space="preserve"> increase. Moreover, the UVA is able to overexpress </w:t>
      </w:r>
      <w:r w:rsidRPr="00782F15">
        <w:rPr>
          <w:rFonts w:ascii="Times New Roman" w:hAnsi="Times New Roman" w:cs="Times New Roman"/>
          <w:i/>
          <w:lang w:val="en-US"/>
        </w:rPr>
        <w:t>miR-126</w:t>
      </w:r>
      <w:r w:rsidRPr="0014792C">
        <w:rPr>
          <w:rFonts w:ascii="Times New Roman" w:hAnsi="Times New Roman" w:cs="Times New Roman"/>
          <w:lang w:val="en-US"/>
        </w:rPr>
        <w:t xml:space="preserve"> which leads to an observed increase in </w:t>
      </w:r>
      <w:r w:rsidRPr="00782F15">
        <w:rPr>
          <w:rFonts w:ascii="Times New Roman" w:hAnsi="Times New Roman" w:cs="Times New Roman"/>
          <w:i/>
          <w:lang w:val="en-US"/>
        </w:rPr>
        <w:t>NF-</w:t>
      </w:r>
      <w:r w:rsidRPr="00782F15">
        <w:rPr>
          <w:rFonts w:ascii="Times New Roman" w:hAnsi="Times New Roman" w:cs="Times New Roman"/>
          <w:i/>
        </w:rPr>
        <w:t>κ</w:t>
      </w:r>
      <w:r w:rsidRPr="00782F15">
        <w:rPr>
          <w:rFonts w:ascii="Times New Roman" w:hAnsi="Times New Roman" w:cs="Times New Roman"/>
          <w:i/>
          <w:lang w:val="en-US"/>
        </w:rPr>
        <w:t>B</w:t>
      </w:r>
      <w:r w:rsidRPr="0014792C">
        <w:rPr>
          <w:rFonts w:ascii="Times New Roman" w:hAnsi="Times New Roman" w:cs="Times New Roman"/>
          <w:lang w:val="en-US"/>
        </w:rPr>
        <w:t xml:space="preserve"> gene expression which triggers the inflammatory response.</w:t>
      </w:r>
    </w:p>
    <w:p w:rsidR="00862BD1" w:rsidRPr="0014792C" w:rsidRDefault="00862BD1" w:rsidP="00661022">
      <w:pPr>
        <w:spacing w:after="0"/>
        <w:jc w:val="both"/>
        <w:rPr>
          <w:rFonts w:ascii="Times New Roman" w:hAnsi="Times New Roman" w:cs="Times New Roman"/>
          <w:lang w:val="en-US"/>
        </w:rPr>
      </w:pPr>
      <w:r w:rsidRPr="0014792C">
        <w:rPr>
          <w:rFonts w:ascii="Times New Roman" w:hAnsi="Times New Roman" w:cs="Times New Roman"/>
          <w:lang w:val="en-US"/>
        </w:rPr>
        <w:t xml:space="preserve">Anandamide 0,5% induces an upregulation of </w:t>
      </w:r>
      <w:r w:rsidRPr="009747DD">
        <w:rPr>
          <w:rFonts w:ascii="Times New Roman" w:hAnsi="Times New Roman" w:cs="Times New Roman"/>
          <w:i/>
          <w:lang w:val="en-US"/>
        </w:rPr>
        <w:t>miR-21</w:t>
      </w:r>
      <w:r w:rsidRPr="0014792C">
        <w:rPr>
          <w:rFonts w:ascii="Times New Roman" w:hAnsi="Times New Roman" w:cs="Times New Roman"/>
          <w:lang w:val="en-US"/>
        </w:rPr>
        <w:t xml:space="preserve"> that leads to a pro-inflammatory response by </w:t>
      </w:r>
      <w:r w:rsidRPr="009747DD">
        <w:rPr>
          <w:rFonts w:ascii="Times New Roman" w:hAnsi="Times New Roman" w:cs="Times New Roman"/>
          <w:i/>
          <w:lang w:val="en-US"/>
        </w:rPr>
        <w:t>NF-</w:t>
      </w:r>
      <w:r w:rsidRPr="009747DD">
        <w:rPr>
          <w:rFonts w:ascii="Times New Roman" w:hAnsi="Times New Roman" w:cs="Times New Roman"/>
          <w:i/>
        </w:rPr>
        <w:t>κ</w:t>
      </w:r>
      <w:r w:rsidRPr="009747DD">
        <w:rPr>
          <w:rFonts w:ascii="Times New Roman" w:hAnsi="Times New Roman" w:cs="Times New Roman"/>
          <w:i/>
          <w:lang w:val="en-US"/>
        </w:rPr>
        <w:t>B</w:t>
      </w:r>
      <w:r w:rsidRPr="0014792C">
        <w:rPr>
          <w:rFonts w:ascii="Times New Roman" w:hAnsi="Times New Roman" w:cs="Times New Roman"/>
          <w:lang w:val="en-US"/>
        </w:rPr>
        <w:t xml:space="preserve"> increase. At the same time, Anandamide is able to upregulate </w:t>
      </w:r>
      <w:r w:rsidRPr="009747DD">
        <w:rPr>
          <w:rFonts w:ascii="Times New Roman" w:hAnsi="Times New Roman" w:cs="Times New Roman"/>
          <w:i/>
          <w:lang w:val="en-US"/>
        </w:rPr>
        <w:t>IKBKG</w:t>
      </w:r>
      <w:r w:rsidRPr="0014792C">
        <w:rPr>
          <w:rFonts w:ascii="Times New Roman" w:hAnsi="Times New Roman" w:cs="Times New Roman"/>
          <w:lang w:val="en-US"/>
        </w:rPr>
        <w:t xml:space="preserve"> (IKK-</w:t>
      </w:r>
      <w:r w:rsidRPr="0014792C">
        <w:rPr>
          <w:rFonts w:ascii="Times New Roman" w:hAnsi="Times New Roman" w:cs="Times New Roman"/>
        </w:rPr>
        <w:t>γ</w:t>
      </w:r>
      <w:r w:rsidRPr="0014792C">
        <w:rPr>
          <w:rFonts w:ascii="Times New Roman" w:hAnsi="Times New Roman" w:cs="Times New Roman"/>
          <w:lang w:val="en-US"/>
        </w:rPr>
        <w:t>) that leads to phosphorylation and degradation of I</w:t>
      </w:r>
      <w:r w:rsidRPr="0014792C">
        <w:rPr>
          <w:rFonts w:ascii="Times New Roman" w:hAnsi="Times New Roman" w:cs="Times New Roman"/>
        </w:rPr>
        <w:t>κ</w:t>
      </w:r>
      <w:r w:rsidRPr="0014792C">
        <w:rPr>
          <w:rFonts w:ascii="Times New Roman" w:hAnsi="Times New Roman" w:cs="Times New Roman"/>
          <w:lang w:val="en-US"/>
        </w:rPr>
        <w:t>B</w:t>
      </w:r>
      <w:r w:rsidRPr="0014792C">
        <w:rPr>
          <w:rFonts w:ascii="Times New Roman" w:hAnsi="Times New Roman" w:cs="Times New Roman"/>
        </w:rPr>
        <w:t>α</w:t>
      </w:r>
      <w:r w:rsidRPr="0014792C">
        <w:rPr>
          <w:rFonts w:ascii="Times New Roman" w:hAnsi="Times New Roman" w:cs="Times New Roman"/>
          <w:lang w:val="en-US"/>
        </w:rPr>
        <w:t xml:space="preserve"> and the consequent increase of </w:t>
      </w:r>
      <w:r w:rsidRPr="009747DD">
        <w:rPr>
          <w:rFonts w:ascii="Times New Roman" w:hAnsi="Times New Roman" w:cs="Times New Roman"/>
          <w:i/>
          <w:lang w:val="en-US"/>
        </w:rPr>
        <w:t>NF-</w:t>
      </w:r>
      <w:r w:rsidRPr="009747DD">
        <w:rPr>
          <w:rFonts w:ascii="Times New Roman" w:hAnsi="Times New Roman" w:cs="Times New Roman"/>
          <w:i/>
        </w:rPr>
        <w:t>κ</w:t>
      </w:r>
      <w:r w:rsidRPr="009747DD">
        <w:rPr>
          <w:rFonts w:ascii="Times New Roman" w:hAnsi="Times New Roman" w:cs="Times New Roman"/>
          <w:i/>
          <w:lang w:val="en-US"/>
        </w:rPr>
        <w:t>B</w:t>
      </w:r>
      <w:r w:rsidRPr="0014792C">
        <w:rPr>
          <w:rFonts w:ascii="Times New Roman" w:hAnsi="Times New Roman" w:cs="Times New Roman"/>
          <w:lang w:val="en-US"/>
        </w:rPr>
        <w:t xml:space="preserve"> expression. The </w:t>
      </w:r>
      <w:r w:rsidRPr="009747DD">
        <w:rPr>
          <w:rFonts w:ascii="Times New Roman" w:hAnsi="Times New Roman" w:cs="Times New Roman"/>
          <w:i/>
          <w:lang w:val="en-US"/>
        </w:rPr>
        <w:t>NF-</w:t>
      </w:r>
      <w:r w:rsidRPr="009747DD">
        <w:rPr>
          <w:rFonts w:ascii="Times New Roman" w:hAnsi="Times New Roman" w:cs="Times New Roman"/>
          <w:i/>
        </w:rPr>
        <w:t>κ</w:t>
      </w:r>
      <w:r w:rsidRPr="009747DD">
        <w:rPr>
          <w:rFonts w:ascii="Times New Roman" w:hAnsi="Times New Roman" w:cs="Times New Roman"/>
          <w:i/>
          <w:lang w:val="en-US"/>
        </w:rPr>
        <w:t>B</w:t>
      </w:r>
      <w:r w:rsidRPr="0014792C">
        <w:rPr>
          <w:rFonts w:ascii="Times New Roman" w:hAnsi="Times New Roman" w:cs="Times New Roman"/>
          <w:lang w:val="en-US"/>
        </w:rPr>
        <w:t xml:space="preserve"> activation (upregulation) increases the miR-146 gene, which upon processing down-regulates the activity of different genes (</w:t>
      </w:r>
      <w:r w:rsidRPr="009747DD">
        <w:rPr>
          <w:rFonts w:ascii="Times New Roman" w:hAnsi="Times New Roman" w:cs="Times New Roman"/>
          <w:i/>
          <w:lang w:val="en-US"/>
        </w:rPr>
        <w:t>IRAK1</w:t>
      </w:r>
      <w:r w:rsidRPr="0014792C">
        <w:rPr>
          <w:rFonts w:ascii="Times New Roman" w:hAnsi="Times New Roman" w:cs="Times New Roman"/>
          <w:lang w:val="en-US"/>
        </w:rPr>
        <w:t xml:space="preserve"> and </w:t>
      </w:r>
      <w:r w:rsidRPr="009747DD">
        <w:rPr>
          <w:rFonts w:ascii="Times New Roman" w:hAnsi="Times New Roman" w:cs="Times New Roman"/>
          <w:i/>
          <w:lang w:val="en-US"/>
        </w:rPr>
        <w:t>TRAF6</w:t>
      </w:r>
      <w:r w:rsidRPr="0014792C">
        <w:rPr>
          <w:rFonts w:ascii="Times New Roman" w:hAnsi="Times New Roman" w:cs="Times New Roman"/>
          <w:lang w:val="en-US"/>
        </w:rPr>
        <w:t xml:space="preserve">) to reduce </w:t>
      </w:r>
      <w:r w:rsidRPr="009747DD">
        <w:rPr>
          <w:rFonts w:ascii="Times New Roman" w:hAnsi="Times New Roman" w:cs="Times New Roman"/>
          <w:i/>
          <w:lang w:val="en-US"/>
        </w:rPr>
        <w:t>NF-</w:t>
      </w:r>
      <w:r w:rsidRPr="009747DD">
        <w:rPr>
          <w:rFonts w:ascii="Times New Roman" w:hAnsi="Times New Roman" w:cs="Times New Roman"/>
          <w:i/>
        </w:rPr>
        <w:t>κ</w:t>
      </w:r>
      <w:r w:rsidRPr="009747DD">
        <w:rPr>
          <w:rFonts w:ascii="Times New Roman" w:hAnsi="Times New Roman" w:cs="Times New Roman"/>
          <w:i/>
          <w:lang w:val="en-US"/>
        </w:rPr>
        <w:t>B</w:t>
      </w:r>
      <w:r w:rsidRPr="0014792C">
        <w:rPr>
          <w:rFonts w:ascii="Times New Roman" w:hAnsi="Times New Roman" w:cs="Times New Roman"/>
          <w:lang w:val="en-US"/>
        </w:rPr>
        <w:t xml:space="preserve"> activity, that remains inactive in the cytosol (Table 2). </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t>These results suggest that Anandamide 0,5% has an effect on reducing the pro-inflammatory response through negative regulatory feedback mediated by miR-146. In fact, as shown in Figure 5, miR-146 is a downstream inhibitor of NF-</w:t>
      </w:r>
      <w:r w:rsidRPr="0014792C">
        <w:rPr>
          <w:rFonts w:ascii="Times New Roman" w:hAnsi="Times New Roman" w:cs="Times New Roman"/>
        </w:rPr>
        <w:t>κ</w:t>
      </w:r>
      <w:r w:rsidRPr="0014792C">
        <w:rPr>
          <w:rFonts w:ascii="Times New Roman" w:hAnsi="Times New Roman" w:cs="Times New Roman"/>
          <w:lang w:val="en-US"/>
        </w:rPr>
        <w:t>B:</w:t>
      </w:r>
    </w:p>
    <w:p w:rsidR="00862BD1" w:rsidRPr="0014792C" w:rsidRDefault="00862BD1" w:rsidP="00661022">
      <w:pPr>
        <w:spacing w:after="0"/>
        <w:jc w:val="both"/>
        <w:rPr>
          <w:rFonts w:ascii="Times New Roman" w:hAnsi="Times New Roman" w:cs="Times New Roman"/>
          <w:lang w:val="en-US"/>
        </w:rPr>
      </w:pPr>
      <w:r w:rsidRPr="0014792C">
        <w:rPr>
          <w:rFonts w:ascii="Times New Roman" w:hAnsi="Times New Roman" w:cs="Times New Roman"/>
          <w:lang w:val="en-US"/>
        </w:rPr>
        <w:t>The anti-</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effect of </w:t>
      </w:r>
      <w:proofErr w:type="spellStart"/>
      <w:r w:rsidRPr="0014792C">
        <w:rPr>
          <w:rFonts w:ascii="Times New Roman" w:hAnsi="Times New Roman" w:cs="Times New Roman"/>
          <w:lang w:val="en-US"/>
        </w:rPr>
        <w:t>Isopalmide</w:t>
      </w:r>
      <w:proofErr w:type="spellEnd"/>
      <w:r w:rsidRPr="00BA2D6E">
        <w:rPr>
          <w:rFonts w:ascii="Times New Roman" w:hAnsi="Times New Roman" w:cs="Times New Roman"/>
          <w:vertAlign w:val="superscript"/>
          <w:lang w:val="en-US"/>
        </w:rPr>
        <w:t>®</w:t>
      </w:r>
      <w:r w:rsidRPr="0014792C">
        <w:rPr>
          <w:rFonts w:ascii="Times New Roman" w:hAnsi="Times New Roman" w:cs="Times New Roman"/>
          <w:lang w:val="en-US"/>
        </w:rPr>
        <w:t xml:space="preserve"> seems to be independent of concentration since it counteracts the overexpression of </w:t>
      </w:r>
      <w:r w:rsidRPr="009747DD">
        <w:rPr>
          <w:rFonts w:ascii="Times New Roman" w:hAnsi="Times New Roman" w:cs="Times New Roman"/>
          <w:i/>
          <w:lang w:val="en-US"/>
        </w:rPr>
        <w:t>miR-21</w:t>
      </w:r>
      <w:r w:rsidRPr="0014792C">
        <w:rPr>
          <w:rFonts w:ascii="Times New Roman" w:hAnsi="Times New Roman" w:cs="Times New Roman"/>
          <w:lang w:val="en-US"/>
        </w:rPr>
        <w:t xml:space="preserve"> and </w:t>
      </w:r>
      <w:r w:rsidRPr="009747DD">
        <w:rPr>
          <w:rFonts w:ascii="Times New Roman" w:hAnsi="Times New Roman" w:cs="Times New Roman"/>
          <w:i/>
          <w:lang w:val="en-US"/>
        </w:rPr>
        <w:t>miR-126</w:t>
      </w:r>
      <w:r w:rsidRPr="0014792C">
        <w:rPr>
          <w:rFonts w:ascii="Times New Roman" w:hAnsi="Times New Roman" w:cs="Times New Roman"/>
          <w:lang w:val="en-US"/>
        </w:rPr>
        <w:t>, both at 0,1% and 0,5% (Tables 3 and 4).</w:t>
      </w:r>
    </w:p>
    <w:p w:rsidR="00862BD1" w:rsidRPr="0014792C" w:rsidRDefault="00862BD1" w:rsidP="00661022">
      <w:pPr>
        <w:spacing w:after="0"/>
        <w:jc w:val="both"/>
        <w:rPr>
          <w:rFonts w:ascii="Times New Roman" w:hAnsi="Times New Roman" w:cs="Times New Roman"/>
          <w:lang w:val="en-US"/>
        </w:rPr>
      </w:pPr>
      <w:r w:rsidRPr="0014792C">
        <w:rPr>
          <w:rFonts w:ascii="Times New Roman" w:hAnsi="Times New Roman" w:cs="Times New Roman"/>
          <w:lang w:val="en-US"/>
        </w:rPr>
        <w:t xml:space="preserve">By reducing </w:t>
      </w:r>
      <w:r w:rsidRPr="001724F1">
        <w:rPr>
          <w:rFonts w:ascii="Times New Roman" w:hAnsi="Times New Roman" w:cs="Times New Roman"/>
          <w:i/>
          <w:lang w:val="en-US"/>
        </w:rPr>
        <w:t>miR-21</w:t>
      </w:r>
      <w:r w:rsidRPr="0014792C">
        <w:rPr>
          <w:rFonts w:ascii="Times New Roman" w:hAnsi="Times New Roman" w:cs="Times New Roman"/>
          <w:lang w:val="en-US"/>
        </w:rPr>
        <w:t xml:space="preserve"> expression, </w:t>
      </w:r>
      <w:proofErr w:type="spellStart"/>
      <w:r w:rsidRPr="0014792C">
        <w:rPr>
          <w:rFonts w:ascii="Times New Roman" w:hAnsi="Times New Roman" w:cs="Times New Roman"/>
          <w:lang w:val="en-US"/>
        </w:rPr>
        <w:t>Isopalmide</w:t>
      </w:r>
      <w:proofErr w:type="spellEnd"/>
      <w:r w:rsidRPr="00BA2D6E">
        <w:rPr>
          <w:rFonts w:ascii="Times New Roman" w:hAnsi="Times New Roman" w:cs="Times New Roman"/>
          <w:vertAlign w:val="superscript"/>
          <w:lang w:val="en-US"/>
        </w:rPr>
        <w:t>®</w:t>
      </w:r>
      <w:r w:rsidRPr="0014792C">
        <w:rPr>
          <w:rFonts w:ascii="Times New Roman" w:hAnsi="Times New Roman" w:cs="Times New Roman"/>
          <w:lang w:val="en-US"/>
        </w:rPr>
        <w:t xml:space="preserve"> induces the retention of </w:t>
      </w:r>
      <w:r w:rsidRPr="001724F1">
        <w:rPr>
          <w:rFonts w:ascii="Times New Roman" w:hAnsi="Times New Roman" w:cs="Times New Roman"/>
          <w:i/>
          <w:lang w:val="en-US"/>
        </w:rPr>
        <w:t>NF-</w:t>
      </w:r>
      <w:r w:rsidRPr="001724F1">
        <w:rPr>
          <w:rFonts w:ascii="Times New Roman" w:hAnsi="Times New Roman" w:cs="Times New Roman"/>
          <w:i/>
        </w:rPr>
        <w:t>κ</w:t>
      </w:r>
      <w:r w:rsidRPr="001724F1">
        <w:rPr>
          <w:rFonts w:ascii="Times New Roman" w:hAnsi="Times New Roman" w:cs="Times New Roman"/>
          <w:i/>
          <w:lang w:val="en-US"/>
        </w:rPr>
        <w:t>B</w:t>
      </w:r>
      <w:r w:rsidRPr="0014792C">
        <w:rPr>
          <w:rFonts w:ascii="Times New Roman" w:hAnsi="Times New Roman" w:cs="Times New Roman"/>
          <w:lang w:val="en-US"/>
        </w:rPr>
        <w:t xml:space="preserve"> in the cytoplasm that could lead to an anti-inflammatory response. On the other hand, through the blocking of </w:t>
      </w:r>
      <w:r w:rsidRPr="001724F1">
        <w:rPr>
          <w:rFonts w:ascii="Times New Roman" w:hAnsi="Times New Roman" w:cs="Times New Roman"/>
          <w:i/>
          <w:lang w:val="en-US"/>
        </w:rPr>
        <w:t>miR-126</w:t>
      </w:r>
      <w:r w:rsidRPr="0014792C">
        <w:rPr>
          <w:rFonts w:ascii="Times New Roman" w:hAnsi="Times New Roman" w:cs="Times New Roman"/>
          <w:lang w:val="en-US"/>
        </w:rPr>
        <w:t xml:space="preserve"> </w:t>
      </w:r>
      <w:proofErr w:type="spellStart"/>
      <w:r w:rsidRPr="0014792C">
        <w:rPr>
          <w:rFonts w:ascii="Times New Roman" w:hAnsi="Times New Roman" w:cs="Times New Roman"/>
          <w:lang w:val="en-US"/>
        </w:rPr>
        <w:t>Isopalmide</w:t>
      </w:r>
      <w:proofErr w:type="spellEnd"/>
      <w:r w:rsidRPr="00BA2D6E">
        <w:rPr>
          <w:rFonts w:ascii="Times New Roman" w:hAnsi="Times New Roman" w:cs="Times New Roman"/>
          <w:vertAlign w:val="superscript"/>
          <w:lang w:val="en-US"/>
        </w:rPr>
        <w:t>®</w:t>
      </w:r>
      <w:r w:rsidRPr="0014792C">
        <w:rPr>
          <w:rFonts w:ascii="Times New Roman" w:hAnsi="Times New Roman" w:cs="Times New Roman"/>
          <w:lang w:val="en-US"/>
        </w:rPr>
        <w:t xml:space="preserve"> stimulates the IKK complex (</w:t>
      </w:r>
      <w:r w:rsidRPr="001724F1">
        <w:rPr>
          <w:rFonts w:ascii="Times New Roman" w:hAnsi="Times New Roman" w:cs="Times New Roman"/>
          <w:i/>
          <w:lang w:val="en-US"/>
        </w:rPr>
        <w:t>IKBKG</w:t>
      </w:r>
      <w:r w:rsidRPr="0014792C">
        <w:rPr>
          <w:rFonts w:ascii="Times New Roman" w:hAnsi="Times New Roman" w:cs="Times New Roman"/>
          <w:lang w:val="en-US"/>
        </w:rPr>
        <w:t xml:space="preserve"> overexpression). At the considered time-point (6h treatment) </w:t>
      </w:r>
      <w:proofErr w:type="spellStart"/>
      <w:r w:rsidRPr="0014792C">
        <w:rPr>
          <w:rFonts w:ascii="Times New Roman" w:hAnsi="Times New Roman" w:cs="Times New Roman"/>
          <w:lang w:val="en-US"/>
        </w:rPr>
        <w:t>Isopalmide</w:t>
      </w:r>
      <w:proofErr w:type="spellEnd"/>
      <w:r w:rsidRPr="00BA2D6E">
        <w:rPr>
          <w:rFonts w:ascii="Times New Roman" w:hAnsi="Times New Roman" w:cs="Times New Roman"/>
          <w:vertAlign w:val="superscript"/>
          <w:lang w:val="en-US"/>
        </w:rPr>
        <w:t>®</w:t>
      </w:r>
      <w:r w:rsidRPr="0014792C">
        <w:rPr>
          <w:rFonts w:ascii="Times New Roman" w:hAnsi="Times New Roman" w:cs="Times New Roman"/>
          <w:lang w:val="en-US"/>
        </w:rPr>
        <w:t xml:space="preserve"> is able to establish an inflammatory/anti-inflammatory balance by the blocking of </w:t>
      </w:r>
      <w:r w:rsidRPr="001724F1">
        <w:rPr>
          <w:rFonts w:ascii="Times New Roman" w:hAnsi="Times New Roman" w:cs="Times New Roman"/>
          <w:i/>
          <w:lang w:val="en-US"/>
        </w:rPr>
        <w:t>miR-21</w:t>
      </w:r>
      <w:r w:rsidRPr="0014792C">
        <w:rPr>
          <w:rFonts w:ascii="Times New Roman" w:hAnsi="Times New Roman" w:cs="Times New Roman"/>
          <w:lang w:val="en-US"/>
        </w:rPr>
        <w:t xml:space="preserve"> and </w:t>
      </w:r>
      <w:r w:rsidRPr="001724F1">
        <w:rPr>
          <w:rFonts w:ascii="Times New Roman" w:hAnsi="Times New Roman" w:cs="Times New Roman"/>
          <w:i/>
          <w:lang w:val="en-US"/>
        </w:rPr>
        <w:t>miR-126</w:t>
      </w:r>
      <w:r w:rsidRPr="0014792C">
        <w:rPr>
          <w:rFonts w:ascii="Times New Roman" w:hAnsi="Times New Roman" w:cs="Times New Roman"/>
          <w:lang w:val="en-US"/>
        </w:rPr>
        <w:t>, indicating that it could have a precocious activity on the pathway (Figure 6):</w:t>
      </w:r>
    </w:p>
    <w:p w:rsidR="00862BD1" w:rsidRPr="0014792C" w:rsidRDefault="00862BD1" w:rsidP="00661022">
      <w:pPr>
        <w:spacing w:after="0"/>
        <w:jc w:val="both"/>
        <w:rPr>
          <w:rFonts w:ascii="Times New Roman" w:hAnsi="Times New Roman" w:cs="Times New Roman"/>
          <w:lang w:val="en-US"/>
        </w:rPr>
      </w:pPr>
      <w:r w:rsidRPr="0014792C">
        <w:rPr>
          <w:rFonts w:ascii="Times New Roman" w:hAnsi="Times New Roman" w:cs="Times New Roman"/>
          <w:lang w:val="en-US"/>
        </w:rPr>
        <w:t xml:space="preserve">The </w:t>
      </w:r>
      <w:proofErr w:type="spellStart"/>
      <w:r w:rsidRPr="0014792C">
        <w:rPr>
          <w:rFonts w:ascii="Times New Roman" w:hAnsi="Times New Roman" w:cs="Times New Roman"/>
          <w:lang w:val="en-US"/>
        </w:rPr>
        <w:t>Ceramage</w:t>
      </w:r>
      <w:proofErr w:type="spellEnd"/>
      <w:r w:rsidRPr="00BA2D6E">
        <w:rPr>
          <w:rFonts w:ascii="Times New Roman" w:hAnsi="Times New Roman" w:cs="Times New Roman"/>
          <w:vertAlign w:val="superscript"/>
          <w:lang w:val="en-US"/>
        </w:rPr>
        <w:t>®</w:t>
      </w:r>
      <w:r w:rsidRPr="0014792C">
        <w:rPr>
          <w:rFonts w:ascii="Times New Roman" w:hAnsi="Times New Roman" w:cs="Times New Roman"/>
          <w:lang w:val="en-US"/>
        </w:rPr>
        <w:t xml:space="preserve"> Fluid Concentrate, which contains 0,5% of </w:t>
      </w:r>
      <w:proofErr w:type="spellStart"/>
      <w:r w:rsidRPr="0014792C">
        <w:rPr>
          <w:rFonts w:ascii="Times New Roman" w:hAnsi="Times New Roman" w:cs="Times New Roman"/>
          <w:lang w:val="en-US"/>
        </w:rPr>
        <w:t>Isopalmide</w:t>
      </w:r>
      <w:proofErr w:type="spellEnd"/>
      <w:r w:rsidRPr="00BA2D6E">
        <w:rPr>
          <w:rFonts w:ascii="Times New Roman" w:hAnsi="Times New Roman" w:cs="Times New Roman"/>
          <w:vertAlign w:val="superscript"/>
          <w:lang w:val="en-US"/>
        </w:rPr>
        <w:t>®</w:t>
      </w:r>
      <w:r w:rsidRPr="0014792C">
        <w:rPr>
          <w:rFonts w:ascii="Times New Roman" w:hAnsi="Times New Roman" w:cs="Times New Roman"/>
          <w:lang w:val="en-US"/>
        </w:rPr>
        <w:t>, has an anti-</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action mediated by I</w:t>
      </w:r>
      <w:r w:rsidRPr="0014792C">
        <w:rPr>
          <w:rFonts w:ascii="Times New Roman" w:hAnsi="Times New Roman" w:cs="Times New Roman"/>
        </w:rPr>
        <w:t>κ</w:t>
      </w:r>
      <w:r w:rsidRPr="0014792C">
        <w:rPr>
          <w:rFonts w:ascii="Times New Roman" w:hAnsi="Times New Roman" w:cs="Times New Roman"/>
          <w:lang w:val="en-US"/>
        </w:rPr>
        <w:t>B</w:t>
      </w:r>
      <w:r w:rsidRPr="0014792C">
        <w:rPr>
          <w:rFonts w:ascii="Times New Roman" w:hAnsi="Times New Roman" w:cs="Times New Roman"/>
        </w:rPr>
        <w:t>α</w:t>
      </w:r>
      <w:r w:rsidRPr="0014792C">
        <w:rPr>
          <w:rFonts w:ascii="Times New Roman" w:hAnsi="Times New Roman" w:cs="Times New Roman"/>
          <w:lang w:val="en-US"/>
        </w:rPr>
        <w:t xml:space="preserve"> inhibitory control of NF-</w:t>
      </w:r>
      <w:r w:rsidRPr="0014792C">
        <w:rPr>
          <w:rFonts w:ascii="Times New Roman" w:hAnsi="Times New Roman" w:cs="Times New Roman"/>
        </w:rPr>
        <w:t>κ</w:t>
      </w:r>
      <w:r w:rsidRPr="0014792C">
        <w:rPr>
          <w:rFonts w:ascii="Times New Roman" w:hAnsi="Times New Roman" w:cs="Times New Roman"/>
          <w:lang w:val="en-US"/>
        </w:rPr>
        <w:t>B.</w:t>
      </w:r>
    </w:p>
    <w:p w:rsidR="00862BD1" w:rsidRPr="0014792C" w:rsidRDefault="00862BD1" w:rsidP="00661022">
      <w:pPr>
        <w:spacing w:after="0" w:line="240" w:lineRule="auto"/>
        <w:jc w:val="both"/>
        <w:rPr>
          <w:rFonts w:ascii="Times New Roman" w:hAnsi="Times New Roman" w:cs="Times New Roman"/>
          <w:lang w:val="en-US"/>
        </w:rPr>
      </w:pPr>
      <w:r w:rsidRPr="0014792C">
        <w:rPr>
          <w:rFonts w:ascii="Times New Roman" w:hAnsi="Times New Roman" w:cs="Times New Roman"/>
          <w:lang w:val="en-US"/>
        </w:rPr>
        <w:t xml:space="preserve">The </w:t>
      </w:r>
      <w:proofErr w:type="spellStart"/>
      <w:r w:rsidRPr="0014792C">
        <w:rPr>
          <w:rFonts w:ascii="Times New Roman" w:hAnsi="Times New Roman" w:cs="Times New Roman"/>
          <w:lang w:val="en-US"/>
        </w:rPr>
        <w:t>Ceramage</w:t>
      </w:r>
      <w:proofErr w:type="spellEnd"/>
      <w:r w:rsidRPr="00BA2D6E">
        <w:rPr>
          <w:rFonts w:ascii="Times New Roman" w:hAnsi="Times New Roman" w:cs="Times New Roman"/>
          <w:vertAlign w:val="superscript"/>
          <w:lang w:val="en-US"/>
        </w:rPr>
        <w:t>®</w:t>
      </w:r>
      <w:r w:rsidRPr="0014792C">
        <w:rPr>
          <w:rFonts w:ascii="Times New Roman" w:hAnsi="Times New Roman" w:cs="Times New Roman"/>
          <w:lang w:val="en-US"/>
        </w:rPr>
        <w:t xml:space="preserve"> Fluid Concentrate does not induce a significant upregulation of miR-21 and miR-126 (Table 5). </w:t>
      </w:r>
    </w:p>
    <w:p w:rsidR="00862BD1" w:rsidRPr="0014792C" w:rsidRDefault="00862BD1" w:rsidP="00661022">
      <w:pPr>
        <w:spacing w:after="0"/>
        <w:jc w:val="both"/>
        <w:rPr>
          <w:rFonts w:ascii="Times New Roman" w:hAnsi="Times New Roman" w:cs="Times New Roman"/>
          <w:lang w:val="en-US"/>
        </w:rPr>
      </w:pPr>
      <w:r w:rsidRPr="0014792C">
        <w:rPr>
          <w:rFonts w:ascii="Times New Roman" w:hAnsi="Times New Roman" w:cs="Times New Roman"/>
          <w:lang w:val="en-US"/>
        </w:rPr>
        <w:t xml:space="preserve">The blocking of </w:t>
      </w:r>
      <w:r w:rsidRPr="003F3F80">
        <w:rPr>
          <w:rFonts w:ascii="Times New Roman" w:hAnsi="Times New Roman" w:cs="Times New Roman"/>
          <w:i/>
          <w:lang w:val="en-US"/>
        </w:rPr>
        <w:t>miR-21</w:t>
      </w:r>
      <w:r w:rsidRPr="0014792C">
        <w:rPr>
          <w:rFonts w:ascii="Times New Roman" w:hAnsi="Times New Roman" w:cs="Times New Roman"/>
          <w:lang w:val="en-US"/>
        </w:rPr>
        <w:t xml:space="preserve"> induces the levels of </w:t>
      </w:r>
      <w:r w:rsidRPr="003F3F80">
        <w:rPr>
          <w:rFonts w:ascii="Times New Roman" w:hAnsi="Times New Roman" w:cs="Times New Roman"/>
          <w:i/>
          <w:lang w:val="en-US"/>
        </w:rPr>
        <w:t>NF-</w:t>
      </w:r>
      <w:r w:rsidRPr="003F3F80">
        <w:rPr>
          <w:rFonts w:ascii="Times New Roman" w:hAnsi="Times New Roman" w:cs="Times New Roman"/>
          <w:i/>
        </w:rPr>
        <w:t>κ</w:t>
      </w:r>
      <w:r w:rsidRPr="003F3F80">
        <w:rPr>
          <w:rFonts w:ascii="Times New Roman" w:hAnsi="Times New Roman" w:cs="Times New Roman"/>
          <w:i/>
          <w:lang w:val="en-US"/>
        </w:rPr>
        <w:t>B</w:t>
      </w:r>
      <w:r w:rsidRPr="0014792C">
        <w:rPr>
          <w:rFonts w:ascii="Times New Roman" w:hAnsi="Times New Roman" w:cs="Times New Roman"/>
          <w:lang w:val="en-US"/>
        </w:rPr>
        <w:t xml:space="preserve"> in the cytoplasm (inactive form), resulting in an anti-inflammatory response. The missing of the IKK complex activation (</w:t>
      </w:r>
      <w:r w:rsidRPr="003F3F80">
        <w:rPr>
          <w:rFonts w:ascii="Times New Roman" w:hAnsi="Times New Roman" w:cs="Times New Roman"/>
          <w:i/>
          <w:lang w:val="en-US"/>
        </w:rPr>
        <w:t>IKBKG</w:t>
      </w:r>
      <w:r w:rsidRPr="0014792C">
        <w:rPr>
          <w:rFonts w:ascii="Times New Roman" w:hAnsi="Times New Roman" w:cs="Times New Roman"/>
          <w:lang w:val="en-US"/>
        </w:rPr>
        <w:t xml:space="preserve"> and </w:t>
      </w:r>
      <w:r w:rsidRPr="003F3F80">
        <w:rPr>
          <w:rFonts w:ascii="Times New Roman" w:hAnsi="Times New Roman" w:cs="Times New Roman"/>
          <w:i/>
          <w:lang w:val="en-US"/>
        </w:rPr>
        <w:t>CHUK</w:t>
      </w:r>
      <w:r w:rsidRPr="0014792C">
        <w:rPr>
          <w:rFonts w:ascii="Times New Roman" w:hAnsi="Times New Roman" w:cs="Times New Roman"/>
          <w:lang w:val="en-US"/>
        </w:rPr>
        <w:t xml:space="preserve"> not significant expression) prevents the phosphorylation of I</w:t>
      </w:r>
      <w:r w:rsidRPr="0014792C">
        <w:rPr>
          <w:rFonts w:ascii="Times New Roman" w:hAnsi="Times New Roman" w:cs="Times New Roman"/>
        </w:rPr>
        <w:t>κ</w:t>
      </w:r>
      <w:r w:rsidRPr="0014792C">
        <w:rPr>
          <w:rFonts w:ascii="Times New Roman" w:hAnsi="Times New Roman" w:cs="Times New Roman"/>
          <w:lang w:val="en-US"/>
        </w:rPr>
        <w:t>B</w:t>
      </w:r>
      <w:r w:rsidRPr="0014792C">
        <w:rPr>
          <w:rFonts w:ascii="Times New Roman" w:hAnsi="Times New Roman" w:cs="Times New Roman"/>
        </w:rPr>
        <w:t>α</w:t>
      </w:r>
      <w:r w:rsidRPr="0014792C">
        <w:rPr>
          <w:rFonts w:ascii="Times New Roman" w:hAnsi="Times New Roman" w:cs="Times New Roman"/>
          <w:lang w:val="en-US"/>
        </w:rPr>
        <w:t xml:space="preserve">: the consequence is an increase of </w:t>
      </w:r>
      <w:r w:rsidRPr="003F3F80">
        <w:rPr>
          <w:rFonts w:ascii="Times New Roman" w:hAnsi="Times New Roman" w:cs="Times New Roman"/>
          <w:i/>
          <w:lang w:val="en-US"/>
        </w:rPr>
        <w:t>NF-</w:t>
      </w:r>
      <w:r w:rsidRPr="003F3F80">
        <w:rPr>
          <w:rFonts w:ascii="Times New Roman" w:hAnsi="Times New Roman" w:cs="Times New Roman"/>
          <w:i/>
        </w:rPr>
        <w:t>κ</w:t>
      </w:r>
      <w:r w:rsidRPr="003F3F80">
        <w:rPr>
          <w:rFonts w:ascii="Times New Roman" w:hAnsi="Times New Roman" w:cs="Times New Roman"/>
          <w:i/>
          <w:lang w:val="en-US"/>
        </w:rPr>
        <w:t>B</w:t>
      </w:r>
      <w:r w:rsidRPr="0014792C">
        <w:rPr>
          <w:rFonts w:ascii="Times New Roman" w:hAnsi="Times New Roman" w:cs="Times New Roman"/>
          <w:lang w:val="en-US"/>
        </w:rPr>
        <w:t xml:space="preserve"> in the cytosol as an inactive form, resulting in an anti-inflammatory activity of </w:t>
      </w:r>
      <w:proofErr w:type="spellStart"/>
      <w:r w:rsidRPr="0014792C">
        <w:rPr>
          <w:rFonts w:ascii="Times New Roman" w:hAnsi="Times New Roman" w:cs="Times New Roman"/>
          <w:lang w:val="en-US"/>
        </w:rPr>
        <w:t>Ceramage</w:t>
      </w:r>
      <w:proofErr w:type="spellEnd"/>
      <w:r w:rsidRPr="00BA2D6E">
        <w:rPr>
          <w:rFonts w:ascii="Times New Roman" w:hAnsi="Times New Roman" w:cs="Times New Roman"/>
          <w:vertAlign w:val="superscript"/>
          <w:lang w:val="en-US"/>
        </w:rPr>
        <w:t>®</w:t>
      </w:r>
      <w:r w:rsidRPr="0014792C">
        <w:rPr>
          <w:rFonts w:ascii="Times New Roman" w:hAnsi="Times New Roman" w:cs="Times New Roman"/>
          <w:lang w:val="en-US"/>
        </w:rPr>
        <w:t xml:space="preserve"> Fluid. </w:t>
      </w:r>
    </w:p>
    <w:p w:rsidR="006E267E" w:rsidRDefault="00862BD1" w:rsidP="006E267E">
      <w:pPr>
        <w:spacing w:line="240" w:lineRule="auto"/>
        <w:jc w:val="both"/>
        <w:rPr>
          <w:rFonts w:ascii="Times New Roman" w:hAnsi="Times New Roman" w:cs="Times New Roman"/>
          <w:lang w:val="en-US"/>
        </w:rPr>
      </w:pPr>
      <w:r w:rsidRPr="0014792C">
        <w:rPr>
          <w:rFonts w:ascii="Times New Roman" w:hAnsi="Times New Roman" w:cs="Times New Roman"/>
          <w:lang w:val="en-US"/>
        </w:rPr>
        <w:t xml:space="preserve">The </w:t>
      </w:r>
      <w:r w:rsidR="00BA2D6E" w:rsidRPr="002B1C1A">
        <w:rPr>
          <w:rFonts w:ascii="Times New Roman" w:hAnsi="Times New Roman" w:cs="Times New Roman"/>
          <w:noProof/>
          <w:lang w:val="en-US"/>
        </w:rPr>
        <w:t>behavior</w:t>
      </w:r>
      <w:r w:rsidRPr="0014792C">
        <w:rPr>
          <w:rFonts w:ascii="Times New Roman" w:hAnsi="Times New Roman" w:cs="Times New Roman"/>
          <w:lang w:val="en-US"/>
        </w:rPr>
        <w:t xml:space="preserve"> of </w:t>
      </w:r>
      <w:proofErr w:type="spellStart"/>
      <w:r w:rsidRPr="0014792C">
        <w:rPr>
          <w:rFonts w:ascii="Times New Roman" w:hAnsi="Times New Roman" w:cs="Times New Roman"/>
          <w:lang w:val="en-US"/>
        </w:rPr>
        <w:t>Ceramage</w:t>
      </w:r>
      <w:proofErr w:type="spellEnd"/>
      <w:r w:rsidRPr="00BA2D6E">
        <w:rPr>
          <w:rFonts w:ascii="Times New Roman" w:hAnsi="Times New Roman" w:cs="Times New Roman"/>
          <w:vertAlign w:val="superscript"/>
          <w:lang w:val="en-US"/>
        </w:rPr>
        <w:t>®</w:t>
      </w:r>
      <w:r w:rsidRPr="0014792C">
        <w:rPr>
          <w:rFonts w:ascii="Times New Roman" w:hAnsi="Times New Roman" w:cs="Times New Roman"/>
          <w:lang w:val="en-US"/>
        </w:rPr>
        <w:t xml:space="preserve"> Fluid Concentrate can be represented as follow (Figure 7):</w:t>
      </w:r>
    </w:p>
    <w:p w:rsidR="00862BD1" w:rsidRPr="00DA298F" w:rsidRDefault="00862BD1" w:rsidP="006E267E">
      <w:pPr>
        <w:spacing w:line="240" w:lineRule="auto"/>
        <w:jc w:val="both"/>
        <w:rPr>
          <w:rFonts w:ascii="Times New Roman" w:hAnsi="Times New Roman" w:cs="Times New Roman"/>
          <w:lang w:val="en-US"/>
        </w:rPr>
      </w:pPr>
      <w:r w:rsidRPr="00B264C0">
        <w:rPr>
          <w:rFonts w:ascii="Times New Roman" w:hAnsi="Times New Roman" w:cs="Times New Roman"/>
          <w:b/>
          <w:lang w:val="en-US"/>
        </w:rPr>
        <w:t>4.2 LDH release and histological analysis</w:t>
      </w:r>
    </w:p>
    <w:p w:rsidR="00862BD1" w:rsidRPr="0014792C" w:rsidRDefault="00862BD1" w:rsidP="00661022">
      <w:pPr>
        <w:spacing w:after="0"/>
        <w:jc w:val="both"/>
        <w:rPr>
          <w:rFonts w:ascii="Times New Roman" w:hAnsi="Times New Roman" w:cs="Times New Roman"/>
          <w:lang w:val="en-US"/>
        </w:rPr>
      </w:pPr>
      <w:r w:rsidRPr="0014792C">
        <w:rPr>
          <w:rFonts w:ascii="Times New Roman" w:hAnsi="Times New Roman" w:cs="Times New Roman"/>
          <w:lang w:val="en-US"/>
        </w:rPr>
        <w:t>The results of the LDH release, after 6 hours of treatment post-irradiation, are shown in Figure 8.</w:t>
      </w:r>
    </w:p>
    <w:p w:rsidR="00862BD1" w:rsidRPr="0014792C" w:rsidRDefault="00862BD1" w:rsidP="00661022">
      <w:pPr>
        <w:spacing w:after="0"/>
        <w:jc w:val="both"/>
        <w:rPr>
          <w:rFonts w:ascii="Times New Roman" w:hAnsi="Times New Roman" w:cs="Times New Roman"/>
          <w:lang w:val="en-US"/>
        </w:rPr>
      </w:pPr>
      <w:r w:rsidRPr="0014792C">
        <w:rPr>
          <w:rFonts w:ascii="Times New Roman" w:hAnsi="Times New Roman" w:cs="Times New Roman"/>
          <w:lang w:val="en-US"/>
        </w:rPr>
        <w:t>Lactate dehydrogenase release in the culture medium was measured to quantify the membrane integrity. This enzyme is normally present in the cytosol and cannot be measured extracellularly unless cell damage has occurred. So, the release of LDH reflects the membrane damage and correlates to a toxic effect. Considering the value quantified in the control as the basal LDH release, an increased (3,</w:t>
      </w:r>
      <w:proofErr w:type="gramStart"/>
      <w:r w:rsidRPr="0014792C">
        <w:rPr>
          <w:rFonts w:ascii="Times New Roman" w:hAnsi="Times New Roman" w:cs="Times New Roman"/>
          <w:lang w:val="en-US"/>
        </w:rPr>
        <w:t>04 fold</w:t>
      </w:r>
      <w:proofErr w:type="gramEnd"/>
      <w:r w:rsidRPr="0014792C">
        <w:rPr>
          <w:rFonts w:ascii="Times New Roman" w:hAnsi="Times New Roman" w:cs="Times New Roman"/>
          <w:lang w:val="en-US"/>
        </w:rPr>
        <w:t xml:space="preserve"> increase) was observed in UVA-irradiated tissues suggesting the induction of the </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model. After 6 hours of treatment the products compared to UVA-irradiated tissues induces the following results: Anandamide induces a decrease of LDH release (49% reduction of LDH release), reflecting its anti-inflammatory action; </w:t>
      </w:r>
      <w:proofErr w:type="spellStart"/>
      <w:r w:rsidRPr="0014792C">
        <w:rPr>
          <w:rFonts w:ascii="Times New Roman" w:hAnsi="Times New Roman" w:cs="Times New Roman"/>
          <w:lang w:val="en-US"/>
        </w:rPr>
        <w:t>Isopalmide</w:t>
      </w:r>
      <w:proofErr w:type="spellEnd"/>
      <w:r w:rsidRPr="00A23E7A">
        <w:rPr>
          <w:rFonts w:ascii="Times New Roman" w:hAnsi="Times New Roman" w:cs="Times New Roman"/>
          <w:vertAlign w:val="superscript"/>
          <w:lang w:val="en-US"/>
        </w:rPr>
        <w:t>®</w:t>
      </w:r>
      <w:r w:rsidRPr="0014792C">
        <w:rPr>
          <w:rFonts w:ascii="Times New Roman" w:hAnsi="Times New Roman" w:cs="Times New Roman"/>
          <w:lang w:val="en-US"/>
        </w:rPr>
        <w:t xml:space="preserve"> at 0,1% does not show a difference in LDH release compared UVA tissues (6% decrease); </w:t>
      </w:r>
      <w:proofErr w:type="spellStart"/>
      <w:r w:rsidRPr="0014792C">
        <w:rPr>
          <w:rFonts w:ascii="Times New Roman" w:hAnsi="Times New Roman" w:cs="Times New Roman"/>
          <w:lang w:val="en-US"/>
        </w:rPr>
        <w:t>Isopalmide</w:t>
      </w:r>
      <w:proofErr w:type="spellEnd"/>
      <w:r w:rsidRPr="00A23E7A">
        <w:rPr>
          <w:rFonts w:ascii="Times New Roman" w:hAnsi="Times New Roman" w:cs="Times New Roman"/>
          <w:vertAlign w:val="superscript"/>
          <w:lang w:val="en-US"/>
        </w:rPr>
        <w:t>®</w:t>
      </w:r>
      <w:r w:rsidRPr="0014792C">
        <w:rPr>
          <w:rFonts w:ascii="Times New Roman" w:hAnsi="Times New Roman" w:cs="Times New Roman"/>
          <w:lang w:val="en-US"/>
        </w:rPr>
        <w:t xml:space="preserve"> at 0,5% shows a lower LDH release compared to UVA tissues (28% of reduction); </w:t>
      </w:r>
      <w:proofErr w:type="spellStart"/>
      <w:r w:rsidRPr="0014792C">
        <w:rPr>
          <w:rFonts w:ascii="Times New Roman" w:hAnsi="Times New Roman" w:cs="Times New Roman"/>
          <w:lang w:val="en-US"/>
        </w:rPr>
        <w:t>Ceramage</w:t>
      </w:r>
      <w:proofErr w:type="spellEnd"/>
      <w:r w:rsidRPr="00A23E7A">
        <w:rPr>
          <w:rFonts w:ascii="Times New Roman" w:hAnsi="Times New Roman" w:cs="Times New Roman"/>
          <w:vertAlign w:val="superscript"/>
          <w:lang w:val="en-US"/>
        </w:rPr>
        <w:t>®</w:t>
      </w:r>
      <w:r w:rsidRPr="0014792C">
        <w:rPr>
          <w:rFonts w:ascii="Times New Roman" w:hAnsi="Times New Roman" w:cs="Times New Roman"/>
          <w:lang w:val="en-US"/>
        </w:rPr>
        <w:t xml:space="preserve"> Fluid Concentrate, which </w:t>
      </w:r>
      <w:r w:rsidRPr="0014792C">
        <w:rPr>
          <w:rFonts w:ascii="Times New Roman" w:hAnsi="Times New Roman" w:cs="Times New Roman"/>
          <w:lang w:val="en-US"/>
        </w:rPr>
        <w:lastRenderedPageBreak/>
        <w:t xml:space="preserve">contains </w:t>
      </w:r>
      <w:proofErr w:type="spellStart"/>
      <w:r w:rsidRPr="0014792C">
        <w:rPr>
          <w:rFonts w:ascii="Times New Roman" w:hAnsi="Times New Roman" w:cs="Times New Roman"/>
          <w:lang w:val="en-US"/>
        </w:rPr>
        <w:t>Isopalmide</w:t>
      </w:r>
      <w:proofErr w:type="spellEnd"/>
      <w:r w:rsidRPr="00A23E7A">
        <w:rPr>
          <w:rFonts w:ascii="Times New Roman" w:hAnsi="Times New Roman" w:cs="Times New Roman"/>
          <w:vertAlign w:val="superscript"/>
          <w:lang w:val="en-US"/>
        </w:rPr>
        <w:t>®</w:t>
      </w:r>
      <w:r w:rsidRPr="0014792C">
        <w:rPr>
          <w:rFonts w:ascii="Times New Roman" w:hAnsi="Times New Roman" w:cs="Times New Roman"/>
          <w:lang w:val="en-US"/>
        </w:rPr>
        <w:t xml:space="preserve"> at 0,5%, induces a decrease of LDH release (57% reduction) reflecting its anti-inflammatory action on the whole tissue (dermis/epidermis).</w:t>
      </w:r>
    </w:p>
    <w:p w:rsidR="00862BD1" w:rsidRPr="0014792C" w:rsidRDefault="00862BD1" w:rsidP="00661022">
      <w:pPr>
        <w:spacing w:after="0"/>
        <w:jc w:val="both"/>
        <w:rPr>
          <w:rFonts w:ascii="Times New Roman" w:hAnsi="Times New Roman" w:cs="Times New Roman"/>
          <w:lang w:val="en-US"/>
        </w:rPr>
      </w:pPr>
      <w:r w:rsidRPr="0014792C">
        <w:rPr>
          <w:rFonts w:ascii="Times New Roman" w:hAnsi="Times New Roman" w:cs="Times New Roman"/>
          <w:lang w:val="en-US"/>
        </w:rPr>
        <w:t>These results were also confirmed by the histology of the tissues treated with tested items for 6 hours post-irradiation, as shown in Figure 9:</w:t>
      </w:r>
    </w:p>
    <w:p w:rsidR="00862BD1" w:rsidRPr="001C1A97" w:rsidRDefault="00862BD1" w:rsidP="00661022">
      <w:pPr>
        <w:spacing w:after="0"/>
        <w:jc w:val="both"/>
        <w:rPr>
          <w:rFonts w:ascii="Times New Roman" w:hAnsi="Times New Roman" w:cs="Times New Roman"/>
          <w:lang w:val="en-US"/>
        </w:rPr>
      </w:pPr>
      <w:r w:rsidRPr="0014792C">
        <w:rPr>
          <w:rFonts w:ascii="Times New Roman" w:hAnsi="Times New Roman" w:cs="Times New Roman"/>
          <w:lang w:val="en-US"/>
        </w:rPr>
        <w:t xml:space="preserve">The morphology of the positive UVA-irradiated control appears severely modified on the dermal compartment (papillary upper dermis) indicating that the target of the </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regulates skin architecture. At the epidermal level, the overall morphology appears not significantly modified.</w:t>
      </w:r>
    </w:p>
    <w:p w:rsidR="00862BD1" w:rsidRPr="0014792C" w:rsidRDefault="00862BD1" w:rsidP="00B264C0">
      <w:pPr>
        <w:spacing w:line="240" w:lineRule="auto"/>
        <w:jc w:val="both"/>
        <w:rPr>
          <w:rFonts w:ascii="Times New Roman" w:hAnsi="Times New Roman" w:cs="Times New Roman"/>
          <w:lang w:val="en-US"/>
        </w:rPr>
      </w:pPr>
      <w:r w:rsidRPr="0014792C">
        <w:rPr>
          <w:rFonts w:ascii="Times New Roman" w:hAnsi="Times New Roman" w:cs="Times New Roman"/>
          <w:lang w:val="en-US"/>
        </w:rPr>
        <w:t xml:space="preserve">In the sample treated with Anandamide 0,5%, the extracellular matrix of the papillary dermis appears restored and there are no signs of damage at the tissue level, confirming its marked anti-inflammatory activity. The tissue treated with </w:t>
      </w:r>
      <w:proofErr w:type="spellStart"/>
      <w:r w:rsidRPr="0014792C">
        <w:rPr>
          <w:rFonts w:ascii="Times New Roman" w:hAnsi="Times New Roman" w:cs="Times New Roman"/>
          <w:lang w:val="en-US"/>
        </w:rPr>
        <w:t>Ceramage</w:t>
      </w:r>
      <w:proofErr w:type="spellEnd"/>
      <w:r w:rsidRPr="00A23E7A">
        <w:rPr>
          <w:rFonts w:ascii="Times New Roman" w:hAnsi="Times New Roman" w:cs="Times New Roman"/>
          <w:vertAlign w:val="superscript"/>
          <w:lang w:val="en-US"/>
        </w:rPr>
        <w:t>®</w:t>
      </w:r>
      <w:r w:rsidRPr="0014792C">
        <w:rPr>
          <w:rFonts w:ascii="Times New Roman" w:hAnsi="Times New Roman" w:cs="Times New Roman"/>
          <w:lang w:val="en-US"/>
        </w:rPr>
        <w:t xml:space="preserve"> Fluid concentrate that contains </w:t>
      </w:r>
      <w:proofErr w:type="spellStart"/>
      <w:r w:rsidRPr="0014792C">
        <w:rPr>
          <w:rFonts w:ascii="Times New Roman" w:hAnsi="Times New Roman" w:cs="Times New Roman"/>
          <w:lang w:val="en-US"/>
        </w:rPr>
        <w:t>Isopalmide</w:t>
      </w:r>
      <w:proofErr w:type="spellEnd"/>
      <w:r w:rsidRPr="00A23E7A">
        <w:rPr>
          <w:rFonts w:ascii="Times New Roman" w:hAnsi="Times New Roman" w:cs="Times New Roman"/>
          <w:vertAlign w:val="superscript"/>
          <w:lang w:val="en-US"/>
        </w:rPr>
        <w:t>®</w:t>
      </w:r>
      <w:r w:rsidRPr="0014792C">
        <w:rPr>
          <w:rFonts w:ascii="Times New Roman" w:hAnsi="Times New Roman" w:cs="Times New Roman"/>
          <w:lang w:val="en-US"/>
        </w:rPr>
        <w:t xml:space="preserve"> 0.5% appears even more restored, suggesting both an increase of the bioavailability of </w:t>
      </w:r>
      <w:proofErr w:type="spellStart"/>
      <w:r w:rsidRPr="0014792C">
        <w:rPr>
          <w:rFonts w:ascii="Times New Roman" w:hAnsi="Times New Roman" w:cs="Times New Roman"/>
          <w:lang w:val="en-US"/>
        </w:rPr>
        <w:t>Isopalmide</w:t>
      </w:r>
      <w:proofErr w:type="spellEnd"/>
      <w:r w:rsidRPr="00A23E7A">
        <w:rPr>
          <w:rFonts w:ascii="Times New Roman" w:hAnsi="Times New Roman" w:cs="Times New Roman"/>
          <w:vertAlign w:val="superscript"/>
          <w:lang w:val="en-US"/>
        </w:rPr>
        <w:t>®</w:t>
      </w:r>
      <w:r w:rsidRPr="0014792C">
        <w:rPr>
          <w:rFonts w:ascii="Times New Roman" w:hAnsi="Times New Roman" w:cs="Times New Roman"/>
          <w:lang w:val="en-US"/>
        </w:rPr>
        <w:t xml:space="preserve"> by the vehicle and an additional role of other components of the cosmetic product. </w:t>
      </w:r>
    </w:p>
    <w:p w:rsidR="00862BD1" w:rsidRPr="00B264C0" w:rsidRDefault="00862BD1" w:rsidP="005272A2">
      <w:pPr>
        <w:jc w:val="both"/>
        <w:rPr>
          <w:rFonts w:ascii="Times New Roman" w:hAnsi="Times New Roman" w:cs="Times New Roman"/>
          <w:b/>
          <w:lang w:val="en-US"/>
        </w:rPr>
      </w:pPr>
      <w:r w:rsidRPr="00B264C0">
        <w:rPr>
          <w:rFonts w:ascii="Times New Roman" w:hAnsi="Times New Roman" w:cs="Times New Roman"/>
          <w:b/>
          <w:lang w:val="en-US"/>
        </w:rPr>
        <w:t>5. Conclusions</w:t>
      </w:r>
    </w:p>
    <w:p w:rsidR="00862BD1" w:rsidRPr="0014792C" w:rsidRDefault="00862BD1" w:rsidP="00B264C0">
      <w:pPr>
        <w:spacing w:line="240" w:lineRule="auto"/>
        <w:jc w:val="both"/>
        <w:rPr>
          <w:rFonts w:ascii="Times New Roman" w:hAnsi="Times New Roman" w:cs="Times New Roman"/>
          <w:lang w:val="en-US"/>
        </w:rPr>
      </w:pPr>
      <w:r w:rsidRPr="0014792C">
        <w:rPr>
          <w:rFonts w:ascii="Times New Roman" w:hAnsi="Times New Roman" w:cs="Times New Roman"/>
          <w:lang w:val="en-US"/>
        </w:rPr>
        <w:t xml:space="preserve">The aim of the study was to assess the activity of a new synthetic endocannabinoid, </w:t>
      </w:r>
      <w:proofErr w:type="spellStart"/>
      <w:r w:rsidRPr="0014792C">
        <w:rPr>
          <w:rFonts w:ascii="Times New Roman" w:hAnsi="Times New Roman" w:cs="Times New Roman"/>
          <w:lang w:val="en-US"/>
        </w:rPr>
        <w:t>Isopalmide</w:t>
      </w:r>
      <w:proofErr w:type="spellEnd"/>
      <w:r w:rsidRPr="00427D64">
        <w:rPr>
          <w:rFonts w:ascii="Times New Roman" w:hAnsi="Times New Roman" w:cs="Times New Roman"/>
          <w:vertAlign w:val="superscript"/>
          <w:lang w:val="en-US"/>
        </w:rPr>
        <w:t>®</w:t>
      </w:r>
      <w:r w:rsidRPr="0014792C">
        <w:rPr>
          <w:rFonts w:ascii="Times New Roman" w:hAnsi="Times New Roman" w:cs="Times New Roman"/>
          <w:lang w:val="en-US"/>
        </w:rPr>
        <w:t xml:space="preserve">, in comparison to a natural well-known endocannabinoid, anandamide. We tested the activity of both compounds on an </w:t>
      </w:r>
      <w:r w:rsidRPr="005E4D8E">
        <w:rPr>
          <w:rFonts w:ascii="Times New Roman" w:hAnsi="Times New Roman" w:cs="Times New Roman"/>
          <w:i/>
          <w:lang w:val="en-US"/>
        </w:rPr>
        <w:t>in vitro</w:t>
      </w:r>
      <w:r w:rsidRPr="0014792C">
        <w:rPr>
          <w:rFonts w:ascii="Times New Roman" w:hAnsi="Times New Roman" w:cs="Times New Roman"/>
          <w:lang w:val="en-US"/>
        </w:rPr>
        <w:t xml:space="preserve"> skin model, previously validated for the expression of inflammation after irradiation with UVA and we evaluated the activity of anandamide and </w:t>
      </w:r>
      <w:proofErr w:type="spellStart"/>
      <w:r w:rsidRPr="0014792C">
        <w:rPr>
          <w:rFonts w:ascii="Times New Roman" w:hAnsi="Times New Roman" w:cs="Times New Roman"/>
          <w:lang w:val="en-US"/>
        </w:rPr>
        <w:t>Isopalmide</w:t>
      </w:r>
      <w:proofErr w:type="spellEnd"/>
      <w:r w:rsidRPr="00427D64">
        <w:rPr>
          <w:rFonts w:ascii="Times New Roman" w:hAnsi="Times New Roman" w:cs="Times New Roman"/>
          <w:vertAlign w:val="superscript"/>
          <w:lang w:val="en-US"/>
        </w:rPr>
        <w:t>®</w:t>
      </w:r>
      <w:r w:rsidRPr="0014792C">
        <w:rPr>
          <w:rFonts w:ascii="Times New Roman" w:hAnsi="Times New Roman" w:cs="Times New Roman"/>
          <w:lang w:val="en-US"/>
        </w:rPr>
        <w:t xml:space="preserve"> on the NF-</w:t>
      </w:r>
      <w:r w:rsidRPr="0014792C">
        <w:rPr>
          <w:rFonts w:ascii="Times New Roman" w:hAnsi="Times New Roman" w:cs="Times New Roman"/>
        </w:rPr>
        <w:t>κ</w:t>
      </w:r>
      <w:r w:rsidRPr="0014792C">
        <w:rPr>
          <w:rFonts w:ascii="Times New Roman" w:hAnsi="Times New Roman" w:cs="Times New Roman"/>
          <w:lang w:val="en-US"/>
        </w:rPr>
        <w:t xml:space="preserve">B pathway, considering that in literature the effects of anandamide on this pathway have already been assessed [10]. Given these assumptions, we observed that anandamide and </w:t>
      </w:r>
      <w:proofErr w:type="spellStart"/>
      <w:r w:rsidRPr="0014792C">
        <w:rPr>
          <w:rFonts w:ascii="Times New Roman" w:hAnsi="Times New Roman" w:cs="Times New Roman"/>
          <w:lang w:val="en-US"/>
        </w:rPr>
        <w:t>Isopalmide</w:t>
      </w:r>
      <w:proofErr w:type="spellEnd"/>
      <w:r w:rsidRPr="00427D64">
        <w:rPr>
          <w:rFonts w:ascii="Times New Roman" w:hAnsi="Times New Roman" w:cs="Times New Roman"/>
          <w:vertAlign w:val="superscript"/>
          <w:lang w:val="en-US"/>
        </w:rPr>
        <w:t>®</w:t>
      </w:r>
      <w:r w:rsidRPr="0014792C">
        <w:rPr>
          <w:rFonts w:ascii="Times New Roman" w:hAnsi="Times New Roman" w:cs="Times New Roman"/>
          <w:lang w:val="en-US"/>
        </w:rPr>
        <w:t xml:space="preserve"> act on the NF-</w:t>
      </w:r>
      <w:r w:rsidRPr="0014792C">
        <w:rPr>
          <w:rFonts w:ascii="Times New Roman" w:hAnsi="Times New Roman" w:cs="Times New Roman"/>
        </w:rPr>
        <w:t>κ</w:t>
      </w:r>
      <w:r w:rsidRPr="0014792C">
        <w:rPr>
          <w:rFonts w:ascii="Times New Roman" w:hAnsi="Times New Roman" w:cs="Times New Roman"/>
          <w:lang w:val="en-US"/>
        </w:rPr>
        <w:t>B pathway in a different way: the first inhibits NF-</w:t>
      </w:r>
      <w:r w:rsidRPr="0014792C">
        <w:rPr>
          <w:rFonts w:ascii="Times New Roman" w:hAnsi="Times New Roman" w:cs="Times New Roman"/>
        </w:rPr>
        <w:t>κ</w:t>
      </w:r>
      <w:r w:rsidRPr="0014792C">
        <w:rPr>
          <w:rFonts w:ascii="Times New Roman" w:hAnsi="Times New Roman" w:cs="Times New Roman"/>
          <w:lang w:val="en-US"/>
        </w:rPr>
        <w:t xml:space="preserve">B activation through a negative regulatory feedback promoted by miR-146a, while the second establish an </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/anti-</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balance by the blocking of miRNA-21 and miRNA-126 upregulation. Moreover, we tested on the same model a cosmetic product containing </w:t>
      </w:r>
      <w:proofErr w:type="spellStart"/>
      <w:r w:rsidRPr="0014792C">
        <w:rPr>
          <w:rFonts w:ascii="Times New Roman" w:hAnsi="Times New Roman" w:cs="Times New Roman"/>
          <w:lang w:val="en-US"/>
        </w:rPr>
        <w:t>Isopalmide</w:t>
      </w:r>
      <w:proofErr w:type="spellEnd"/>
      <w:r w:rsidRPr="00427D64">
        <w:rPr>
          <w:rFonts w:ascii="Times New Roman" w:hAnsi="Times New Roman" w:cs="Times New Roman"/>
          <w:vertAlign w:val="superscript"/>
          <w:lang w:val="en-US"/>
        </w:rPr>
        <w:t>®</w:t>
      </w:r>
      <w:r w:rsidRPr="0014792C">
        <w:rPr>
          <w:rFonts w:ascii="Times New Roman" w:hAnsi="Times New Roman" w:cs="Times New Roman"/>
          <w:lang w:val="en-US"/>
        </w:rPr>
        <w:t xml:space="preserve"> at 0,5% and we observed an anti-</w:t>
      </w:r>
      <w:proofErr w:type="spellStart"/>
      <w:r w:rsidRPr="0014792C">
        <w:rPr>
          <w:rFonts w:ascii="Times New Roman" w:hAnsi="Times New Roman" w:cs="Times New Roman"/>
          <w:lang w:val="en-US"/>
        </w:rPr>
        <w:t>inflammaging</w:t>
      </w:r>
      <w:proofErr w:type="spellEnd"/>
      <w:r w:rsidRPr="0014792C">
        <w:rPr>
          <w:rFonts w:ascii="Times New Roman" w:hAnsi="Times New Roman" w:cs="Times New Roman"/>
          <w:lang w:val="en-US"/>
        </w:rPr>
        <w:t xml:space="preserve"> activity by preventing the activation of NF-</w:t>
      </w:r>
      <w:r w:rsidRPr="0014792C">
        <w:rPr>
          <w:rFonts w:ascii="Times New Roman" w:hAnsi="Times New Roman" w:cs="Times New Roman"/>
        </w:rPr>
        <w:t>κ</w:t>
      </w:r>
      <w:r w:rsidRPr="0014792C">
        <w:rPr>
          <w:rFonts w:ascii="Times New Roman" w:hAnsi="Times New Roman" w:cs="Times New Roman"/>
          <w:lang w:val="en-US"/>
        </w:rPr>
        <w:t>B through IKB-</w:t>
      </w:r>
      <w:r w:rsidRPr="0014792C">
        <w:rPr>
          <w:rFonts w:ascii="Times New Roman" w:hAnsi="Times New Roman" w:cs="Times New Roman"/>
        </w:rPr>
        <w:t>α</w:t>
      </w:r>
      <w:r w:rsidRPr="0014792C">
        <w:rPr>
          <w:rFonts w:ascii="Times New Roman" w:hAnsi="Times New Roman" w:cs="Times New Roman"/>
          <w:lang w:val="en-US"/>
        </w:rPr>
        <w:t xml:space="preserve"> inhibitory control and by reducing of the inflammatory miRNAs.</w:t>
      </w:r>
    </w:p>
    <w:p w:rsidR="00B264C0" w:rsidRDefault="00862BD1" w:rsidP="005272A2">
      <w:pPr>
        <w:jc w:val="both"/>
        <w:rPr>
          <w:rFonts w:ascii="Times New Roman" w:hAnsi="Times New Roman" w:cs="Times New Roman"/>
          <w:lang w:val="en-US"/>
        </w:rPr>
      </w:pPr>
      <w:r w:rsidRPr="00B264C0">
        <w:rPr>
          <w:rFonts w:ascii="Times New Roman" w:hAnsi="Times New Roman" w:cs="Times New Roman"/>
          <w:b/>
          <w:lang w:val="en-US"/>
        </w:rPr>
        <w:t>6. Patents</w:t>
      </w:r>
      <w:r w:rsidRPr="0014792C">
        <w:rPr>
          <w:rFonts w:ascii="Times New Roman" w:hAnsi="Times New Roman" w:cs="Times New Roman"/>
          <w:lang w:val="en-US"/>
        </w:rPr>
        <w:t xml:space="preserve"> </w:t>
      </w:r>
    </w:p>
    <w:p w:rsidR="00862BD1" w:rsidRPr="0014792C" w:rsidRDefault="00862BD1" w:rsidP="005272A2">
      <w:pPr>
        <w:jc w:val="both"/>
        <w:rPr>
          <w:rFonts w:ascii="Times New Roman" w:hAnsi="Times New Roman" w:cs="Times New Roman"/>
          <w:lang w:val="en-US"/>
        </w:rPr>
      </w:pPr>
      <w:proofErr w:type="spellStart"/>
      <w:r w:rsidRPr="0014792C">
        <w:rPr>
          <w:rFonts w:ascii="Times New Roman" w:hAnsi="Times New Roman" w:cs="Times New Roman"/>
          <w:lang w:val="en-US"/>
        </w:rPr>
        <w:t>Isopalmide</w:t>
      </w:r>
      <w:proofErr w:type="spellEnd"/>
      <w:r w:rsidRPr="00D628E0">
        <w:rPr>
          <w:rFonts w:ascii="Times New Roman" w:hAnsi="Times New Roman" w:cs="Times New Roman"/>
          <w:vertAlign w:val="superscript"/>
          <w:lang w:val="en-US"/>
        </w:rPr>
        <w:t>®</w:t>
      </w:r>
      <w:r w:rsidRPr="0014792C">
        <w:rPr>
          <w:rFonts w:ascii="Times New Roman" w:hAnsi="Times New Roman" w:cs="Times New Roman"/>
          <w:lang w:val="en-US"/>
        </w:rPr>
        <w:t xml:space="preserve"> is a patented molecule (EP1900365). </w:t>
      </w:r>
      <w:proofErr w:type="spellStart"/>
      <w:r w:rsidRPr="0014792C">
        <w:rPr>
          <w:rFonts w:ascii="Times New Roman" w:hAnsi="Times New Roman" w:cs="Times New Roman"/>
          <w:lang w:val="en-US"/>
        </w:rPr>
        <w:t>Isopalmide</w:t>
      </w:r>
      <w:proofErr w:type="spellEnd"/>
      <w:r w:rsidRPr="00D628E0">
        <w:rPr>
          <w:rFonts w:ascii="Times New Roman" w:hAnsi="Times New Roman" w:cs="Times New Roman"/>
          <w:vertAlign w:val="superscript"/>
          <w:lang w:val="en-US"/>
        </w:rPr>
        <w:t>®</w:t>
      </w:r>
      <w:r w:rsidRPr="0014792C">
        <w:rPr>
          <w:rFonts w:ascii="Times New Roman" w:hAnsi="Times New Roman" w:cs="Times New Roman"/>
          <w:lang w:val="en-US"/>
        </w:rPr>
        <w:t xml:space="preserve"> and </w:t>
      </w:r>
      <w:proofErr w:type="spellStart"/>
      <w:r w:rsidRPr="0014792C">
        <w:rPr>
          <w:rFonts w:ascii="Times New Roman" w:hAnsi="Times New Roman" w:cs="Times New Roman"/>
          <w:lang w:val="en-US"/>
        </w:rPr>
        <w:t>Ceramage</w:t>
      </w:r>
      <w:proofErr w:type="spellEnd"/>
      <w:r w:rsidRPr="00D628E0">
        <w:rPr>
          <w:rFonts w:ascii="Times New Roman" w:hAnsi="Times New Roman" w:cs="Times New Roman"/>
          <w:vertAlign w:val="superscript"/>
          <w:lang w:val="en-US"/>
        </w:rPr>
        <w:t>®</w:t>
      </w:r>
      <w:r w:rsidRPr="0014792C">
        <w:rPr>
          <w:rFonts w:ascii="Times New Roman" w:hAnsi="Times New Roman" w:cs="Times New Roman"/>
          <w:lang w:val="en-US"/>
        </w:rPr>
        <w:t xml:space="preserve"> Fluid Concentrate are registered trademarks of </w:t>
      </w:r>
      <w:r w:rsidRPr="002B1C1A">
        <w:rPr>
          <w:rFonts w:ascii="Times New Roman" w:hAnsi="Times New Roman" w:cs="Times New Roman"/>
          <w:noProof/>
          <w:lang w:val="en-US"/>
        </w:rPr>
        <w:t>Unifarco</w:t>
      </w:r>
      <w:r w:rsidRPr="0014792C">
        <w:rPr>
          <w:rFonts w:ascii="Times New Roman" w:hAnsi="Times New Roman" w:cs="Times New Roman"/>
          <w:lang w:val="en-US"/>
        </w:rPr>
        <w:t xml:space="preserve"> S.p.A.</w:t>
      </w:r>
    </w:p>
    <w:p w:rsidR="00862BD1" w:rsidRPr="00EC398A" w:rsidRDefault="00EC398A" w:rsidP="005272A2">
      <w:pPr>
        <w:jc w:val="both"/>
        <w:rPr>
          <w:rFonts w:ascii="Times New Roman" w:hAnsi="Times New Roman" w:cs="Times New Roman"/>
          <w:b/>
        </w:rPr>
      </w:pPr>
      <w:r w:rsidRPr="00EC398A">
        <w:rPr>
          <w:rFonts w:ascii="Times New Roman" w:hAnsi="Times New Roman" w:cs="Times New Roman"/>
          <w:b/>
        </w:rPr>
        <w:t xml:space="preserve">7. </w:t>
      </w:r>
      <w:proofErr w:type="spellStart"/>
      <w:r w:rsidR="00862BD1" w:rsidRPr="00EC398A">
        <w:rPr>
          <w:rFonts w:ascii="Times New Roman" w:hAnsi="Times New Roman" w:cs="Times New Roman"/>
          <w:b/>
        </w:rPr>
        <w:t>References</w:t>
      </w:r>
      <w:proofErr w:type="spellEnd"/>
    </w:p>
    <w:p w:rsidR="00EC398A" w:rsidRDefault="00862BD1" w:rsidP="005272A2">
      <w:pPr>
        <w:pStyle w:val="Paragrafoelenco"/>
        <w:numPr>
          <w:ilvl w:val="0"/>
          <w:numId w:val="2"/>
        </w:numPr>
        <w:jc w:val="both"/>
        <w:rPr>
          <w:rFonts w:ascii="Times New Roman" w:hAnsi="Times New Roman" w:cs="Times New Roman"/>
          <w:lang w:val="en-US"/>
        </w:rPr>
      </w:pPr>
      <w:r w:rsidRPr="00EC398A">
        <w:rPr>
          <w:rFonts w:ascii="Times New Roman" w:hAnsi="Times New Roman" w:cs="Times New Roman"/>
        </w:rPr>
        <w:t>Franceschi</w:t>
      </w:r>
      <w:r w:rsidR="00D628E0">
        <w:rPr>
          <w:rFonts w:ascii="Times New Roman" w:hAnsi="Times New Roman" w:cs="Times New Roman"/>
        </w:rPr>
        <w:t xml:space="preserve"> C, </w:t>
      </w:r>
      <w:proofErr w:type="spellStart"/>
      <w:r w:rsidR="00D628E0">
        <w:rPr>
          <w:rFonts w:ascii="Times New Roman" w:hAnsi="Times New Roman" w:cs="Times New Roman"/>
        </w:rPr>
        <w:t>Bonafè</w:t>
      </w:r>
      <w:proofErr w:type="spellEnd"/>
      <w:r w:rsidR="00D628E0">
        <w:rPr>
          <w:rFonts w:ascii="Times New Roman" w:hAnsi="Times New Roman" w:cs="Times New Roman"/>
        </w:rPr>
        <w:t xml:space="preserve"> M, </w:t>
      </w:r>
      <w:r w:rsidR="00D628E0" w:rsidRPr="002B1C1A">
        <w:rPr>
          <w:rFonts w:ascii="Times New Roman" w:hAnsi="Times New Roman" w:cs="Times New Roman"/>
          <w:noProof/>
        </w:rPr>
        <w:t>Valensin</w:t>
      </w:r>
      <w:r w:rsidR="00D628E0">
        <w:rPr>
          <w:rFonts w:ascii="Times New Roman" w:hAnsi="Times New Roman" w:cs="Times New Roman"/>
        </w:rPr>
        <w:t xml:space="preserve"> S, Olivieri F, De Luca M, Ottaviani E,</w:t>
      </w:r>
      <w:r w:rsidRPr="00EC398A">
        <w:rPr>
          <w:rFonts w:ascii="Times New Roman" w:hAnsi="Times New Roman" w:cs="Times New Roman"/>
        </w:rPr>
        <w:t xml:space="preserve"> et al. </w:t>
      </w:r>
      <w:proofErr w:type="spellStart"/>
      <w:r w:rsidRPr="00EC398A">
        <w:rPr>
          <w:rFonts w:ascii="Times New Roman" w:hAnsi="Times New Roman" w:cs="Times New Roman"/>
          <w:lang w:val="en-US"/>
        </w:rPr>
        <w:t>Inflamm</w:t>
      </w:r>
      <w:proofErr w:type="spellEnd"/>
      <w:r w:rsidR="00586FF5">
        <w:rPr>
          <w:rFonts w:ascii="Times New Roman" w:hAnsi="Times New Roman" w:cs="Times New Roman"/>
          <w:lang w:val="en-US"/>
        </w:rPr>
        <w:t>-</w:t>
      </w:r>
      <w:r w:rsidRPr="00EC398A">
        <w:rPr>
          <w:rFonts w:ascii="Times New Roman" w:hAnsi="Times New Roman" w:cs="Times New Roman"/>
          <w:lang w:val="en-US"/>
        </w:rPr>
        <w:t>aging</w:t>
      </w:r>
      <w:r w:rsidR="004D70D2">
        <w:rPr>
          <w:rFonts w:ascii="Times New Roman" w:hAnsi="Times New Roman" w:cs="Times New Roman"/>
          <w:lang w:val="en-US"/>
        </w:rPr>
        <w:t>.</w:t>
      </w:r>
      <w:r w:rsidRPr="00EC398A">
        <w:rPr>
          <w:rFonts w:ascii="Times New Roman" w:hAnsi="Times New Roman" w:cs="Times New Roman"/>
          <w:lang w:val="en-US"/>
        </w:rPr>
        <w:t xml:space="preserve"> An </w:t>
      </w:r>
      <w:r w:rsidR="007B20BD">
        <w:rPr>
          <w:rFonts w:ascii="Times New Roman" w:hAnsi="Times New Roman" w:cs="Times New Roman"/>
          <w:lang w:val="en-US"/>
        </w:rPr>
        <w:t>e</w:t>
      </w:r>
      <w:r w:rsidRPr="00EC398A">
        <w:rPr>
          <w:rFonts w:ascii="Times New Roman" w:hAnsi="Times New Roman" w:cs="Times New Roman"/>
          <w:lang w:val="en-US"/>
        </w:rPr>
        <w:t xml:space="preserve">volutionary </w:t>
      </w:r>
      <w:r w:rsidR="007B20BD">
        <w:rPr>
          <w:rFonts w:ascii="Times New Roman" w:hAnsi="Times New Roman" w:cs="Times New Roman"/>
          <w:lang w:val="en-US"/>
        </w:rPr>
        <w:t>p</w:t>
      </w:r>
      <w:r w:rsidRPr="00EC398A">
        <w:rPr>
          <w:rFonts w:ascii="Times New Roman" w:hAnsi="Times New Roman" w:cs="Times New Roman"/>
          <w:lang w:val="en-US"/>
        </w:rPr>
        <w:t xml:space="preserve">erspective on </w:t>
      </w:r>
      <w:proofErr w:type="spellStart"/>
      <w:r w:rsidR="007B20BD">
        <w:rPr>
          <w:rFonts w:ascii="Times New Roman" w:hAnsi="Times New Roman" w:cs="Times New Roman"/>
          <w:lang w:val="en-US"/>
        </w:rPr>
        <w:t>i</w:t>
      </w:r>
      <w:r w:rsidRPr="00EC398A">
        <w:rPr>
          <w:rFonts w:ascii="Times New Roman" w:hAnsi="Times New Roman" w:cs="Times New Roman"/>
          <w:lang w:val="en-US"/>
        </w:rPr>
        <w:t>mmunosenescence</w:t>
      </w:r>
      <w:proofErr w:type="spellEnd"/>
      <w:r w:rsidRPr="00EC398A">
        <w:rPr>
          <w:rFonts w:ascii="Times New Roman" w:hAnsi="Times New Roman" w:cs="Times New Roman"/>
          <w:lang w:val="en-US"/>
        </w:rPr>
        <w:t xml:space="preserve">. Ann N Y </w:t>
      </w:r>
      <w:proofErr w:type="spellStart"/>
      <w:r w:rsidRPr="00EC398A">
        <w:rPr>
          <w:rFonts w:ascii="Times New Roman" w:hAnsi="Times New Roman" w:cs="Times New Roman"/>
          <w:lang w:val="en-US"/>
        </w:rPr>
        <w:t>Acad</w:t>
      </w:r>
      <w:proofErr w:type="spellEnd"/>
      <w:r w:rsidRPr="00EC398A">
        <w:rPr>
          <w:rFonts w:ascii="Times New Roman" w:hAnsi="Times New Roman" w:cs="Times New Roman"/>
          <w:lang w:val="en-US"/>
        </w:rPr>
        <w:t xml:space="preserve"> Sci</w:t>
      </w:r>
      <w:r w:rsidR="000D3F60">
        <w:rPr>
          <w:rFonts w:ascii="Times New Roman" w:hAnsi="Times New Roman" w:cs="Times New Roman"/>
          <w:lang w:val="en-US"/>
        </w:rPr>
        <w:t>.</w:t>
      </w:r>
      <w:r w:rsidRPr="00EC398A">
        <w:rPr>
          <w:rFonts w:ascii="Times New Roman" w:hAnsi="Times New Roman" w:cs="Times New Roman"/>
          <w:lang w:val="en-US"/>
        </w:rPr>
        <w:t xml:space="preserve"> 2000</w:t>
      </w:r>
      <w:r w:rsidR="000D3F60">
        <w:rPr>
          <w:rFonts w:ascii="Times New Roman" w:hAnsi="Times New Roman" w:cs="Times New Roman"/>
          <w:lang w:val="en-US"/>
        </w:rPr>
        <w:t>;</w:t>
      </w:r>
      <w:r w:rsidRPr="00EC398A">
        <w:rPr>
          <w:rFonts w:ascii="Times New Roman" w:hAnsi="Times New Roman" w:cs="Times New Roman"/>
          <w:lang w:val="en-US"/>
        </w:rPr>
        <w:t xml:space="preserve"> 908</w:t>
      </w:r>
      <w:r w:rsidR="000D3F60">
        <w:rPr>
          <w:rFonts w:ascii="Times New Roman" w:hAnsi="Times New Roman" w:cs="Times New Roman"/>
          <w:lang w:val="en-US"/>
        </w:rPr>
        <w:t>:</w:t>
      </w:r>
      <w:r w:rsidRPr="00EC398A">
        <w:rPr>
          <w:rFonts w:ascii="Times New Roman" w:hAnsi="Times New Roman" w:cs="Times New Roman"/>
          <w:lang w:val="en-US"/>
        </w:rPr>
        <w:t xml:space="preserve"> 244-254. </w:t>
      </w:r>
    </w:p>
    <w:p w:rsidR="00EC398A" w:rsidRDefault="00862BD1" w:rsidP="005272A2">
      <w:pPr>
        <w:pStyle w:val="Paragrafoelenco"/>
        <w:numPr>
          <w:ilvl w:val="0"/>
          <w:numId w:val="2"/>
        </w:numPr>
        <w:jc w:val="both"/>
        <w:rPr>
          <w:rFonts w:ascii="Times New Roman" w:hAnsi="Times New Roman" w:cs="Times New Roman"/>
          <w:lang w:val="en-US"/>
        </w:rPr>
      </w:pPr>
      <w:proofErr w:type="spellStart"/>
      <w:r w:rsidRPr="00EC398A">
        <w:rPr>
          <w:rFonts w:ascii="Times New Roman" w:hAnsi="Times New Roman" w:cs="Times New Roman"/>
          <w:lang w:val="en-US"/>
        </w:rPr>
        <w:t>Franceschi</w:t>
      </w:r>
      <w:proofErr w:type="spellEnd"/>
      <w:r w:rsidR="000D3F60">
        <w:rPr>
          <w:rFonts w:ascii="Times New Roman" w:hAnsi="Times New Roman" w:cs="Times New Roman"/>
          <w:lang w:val="en-US"/>
        </w:rPr>
        <w:t xml:space="preserve"> C,</w:t>
      </w:r>
      <w:r w:rsidRPr="00EC398A">
        <w:rPr>
          <w:rFonts w:ascii="Times New Roman" w:hAnsi="Times New Roman" w:cs="Times New Roman"/>
          <w:lang w:val="en-US"/>
        </w:rPr>
        <w:t xml:space="preserve"> </w:t>
      </w:r>
      <w:proofErr w:type="spellStart"/>
      <w:r w:rsidRPr="00EC398A">
        <w:rPr>
          <w:rFonts w:ascii="Times New Roman" w:hAnsi="Times New Roman" w:cs="Times New Roman"/>
          <w:lang w:val="en-US"/>
        </w:rPr>
        <w:t>Campisi</w:t>
      </w:r>
      <w:proofErr w:type="spellEnd"/>
      <w:r w:rsidR="000D3F60">
        <w:rPr>
          <w:rFonts w:ascii="Times New Roman" w:hAnsi="Times New Roman" w:cs="Times New Roman"/>
          <w:lang w:val="en-US"/>
        </w:rPr>
        <w:t xml:space="preserve"> J</w:t>
      </w:r>
      <w:r w:rsidRPr="00EC398A">
        <w:rPr>
          <w:rFonts w:ascii="Times New Roman" w:hAnsi="Times New Roman" w:cs="Times New Roman"/>
          <w:lang w:val="en-US"/>
        </w:rPr>
        <w:t xml:space="preserve">. Chronic </w:t>
      </w:r>
      <w:r w:rsidR="003B1B62">
        <w:rPr>
          <w:rFonts w:ascii="Times New Roman" w:hAnsi="Times New Roman" w:cs="Times New Roman"/>
          <w:lang w:val="en-US"/>
        </w:rPr>
        <w:t>i</w:t>
      </w:r>
      <w:r w:rsidRPr="00EC398A">
        <w:rPr>
          <w:rFonts w:ascii="Times New Roman" w:hAnsi="Times New Roman" w:cs="Times New Roman"/>
          <w:lang w:val="en-US"/>
        </w:rPr>
        <w:t>nflammation (</w:t>
      </w:r>
      <w:proofErr w:type="spellStart"/>
      <w:r w:rsidR="003B1B62">
        <w:rPr>
          <w:rFonts w:ascii="Times New Roman" w:hAnsi="Times New Roman" w:cs="Times New Roman"/>
          <w:lang w:val="en-US"/>
        </w:rPr>
        <w:t>i</w:t>
      </w:r>
      <w:r w:rsidRPr="00EC398A">
        <w:rPr>
          <w:rFonts w:ascii="Times New Roman" w:hAnsi="Times New Roman" w:cs="Times New Roman"/>
          <w:lang w:val="en-US"/>
        </w:rPr>
        <w:t>nflammaging</w:t>
      </w:r>
      <w:proofErr w:type="spellEnd"/>
      <w:r w:rsidRPr="00EC398A">
        <w:rPr>
          <w:rFonts w:ascii="Times New Roman" w:hAnsi="Times New Roman" w:cs="Times New Roman"/>
          <w:lang w:val="en-US"/>
        </w:rPr>
        <w:t xml:space="preserve">) and </w:t>
      </w:r>
      <w:r w:rsidR="003B1B62">
        <w:rPr>
          <w:rFonts w:ascii="Times New Roman" w:hAnsi="Times New Roman" w:cs="Times New Roman"/>
          <w:lang w:val="en-US"/>
        </w:rPr>
        <w:t>i</w:t>
      </w:r>
      <w:r w:rsidRPr="00EC398A">
        <w:rPr>
          <w:rFonts w:ascii="Times New Roman" w:hAnsi="Times New Roman" w:cs="Times New Roman"/>
          <w:lang w:val="en-US"/>
        </w:rPr>
        <w:t xml:space="preserve">ts </w:t>
      </w:r>
      <w:r w:rsidR="003B1B62">
        <w:rPr>
          <w:rFonts w:ascii="Times New Roman" w:hAnsi="Times New Roman" w:cs="Times New Roman"/>
          <w:lang w:val="en-US"/>
        </w:rPr>
        <w:t>p</w:t>
      </w:r>
      <w:r w:rsidRPr="00EC398A">
        <w:rPr>
          <w:rFonts w:ascii="Times New Roman" w:hAnsi="Times New Roman" w:cs="Times New Roman"/>
          <w:lang w:val="en-US"/>
        </w:rPr>
        <w:t xml:space="preserve">otential </w:t>
      </w:r>
      <w:r w:rsidR="003B1B62">
        <w:rPr>
          <w:rFonts w:ascii="Times New Roman" w:hAnsi="Times New Roman" w:cs="Times New Roman"/>
          <w:lang w:val="en-US"/>
        </w:rPr>
        <w:t>c</w:t>
      </w:r>
      <w:r w:rsidRPr="00EC398A">
        <w:rPr>
          <w:rFonts w:ascii="Times New Roman" w:hAnsi="Times New Roman" w:cs="Times New Roman"/>
          <w:lang w:val="en-US"/>
        </w:rPr>
        <w:t xml:space="preserve">ontribution to </w:t>
      </w:r>
      <w:r w:rsidR="003B1B62">
        <w:rPr>
          <w:rFonts w:ascii="Times New Roman" w:hAnsi="Times New Roman" w:cs="Times New Roman"/>
          <w:lang w:val="en-US"/>
        </w:rPr>
        <w:t>a</w:t>
      </w:r>
      <w:r w:rsidRPr="00EC398A">
        <w:rPr>
          <w:rFonts w:ascii="Times New Roman" w:hAnsi="Times New Roman" w:cs="Times New Roman"/>
          <w:lang w:val="en-US"/>
        </w:rPr>
        <w:t>ge-</w:t>
      </w:r>
      <w:r w:rsidR="003B1B62">
        <w:rPr>
          <w:rFonts w:ascii="Times New Roman" w:hAnsi="Times New Roman" w:cs="Times New Roman"/>
          <w:lang w:val="en-US"/>
        </w:rPr>
        <w:t>a</w:t>
      </w:r>
      <w:r w:rsidRPr="00EC398A">
        <w:rPr>
          <w:rFonts w:ascii="Times New Roman" w:hAnsi="Times New Roman" w:cs="Times New Roman"/>
          <w:lang w:val="en-US"/>
        </w:rPr>
        <w:t xml:space="preserve">ssociated </w:t>
      </w:r>
      <w:r w:rsidR="003B1B62">
        <w:rPr>
          <w:rFonts w:ascii="Times New Roman" w:hAnsi="Times New Roman" w:cs="Times New Roman"/>
          <w:lang w:val="en-US"/>
        </w:rPr>
        <w:t>d</w:t>
      </w:r>
      <w:r w:rsidRPr="00EC398A">
        <w:rPr>
          <w:rFonts w:ascii="Times New Roman" w:hAnsi="Times New Roman" w:cs="Times New Roman"/>
          <w:lang w:val="en-US"/>
        </w:rPr>
        <w:t>iseases. J Gerontology</w:t>
      </w:r>
      <w:r w:rsidR="000D3F60">
        <w:rPr>
          <w:rFonts w:ascii="Times New Roman" w:hAnsi="Times New Roman" w:cs="Times New Roman"/>
          <w:lang w:val="en-US"/>
        </w:rPr>
        <w:t>.</w:t>
      </w:r>
      <w:r w:rsidR="00BE0431">
        <w:rPr>
          <w:rFonts w:ascii="Times New Roman" w:hAnsi="Times New Roman" w:cs="Times New Roman"/>
          <w:lang w:val="en-US"/>
        </w:rPr>
        <w:t xml:space="preserve"> J </w:t>
      </w:r>
      <w:proofErr w:type="spellStart"/>
      <w:r w:rsidR="00BE0431">
        <w:rPr>
          <w:rFonts w:ascii="Times New Roman" w:hAnsi="Times New Roman" w:cs="Times New Roman"/>
          <w:lang w:val="en-US"/>
        </w:rPr>
        <w:t>Gerontol</w:t>
      </w:r>
      <w:proofErr w:type="spellEnd"/>
      <w:r w:rsidRPr="00EC398A">
        <w:rPr>
          <w:rFonts w:ascii="Times New Roman" w:hAnsi="Times New Roman" w:cs="Times New Roman"/>
          <w:lang w:val="en-US"/>
        </w:rPr>
        <w:t xml:space="preserve"> </w:t>
      </w:r>
      <w:proofErr w:type="gramStart"/>
      <w:r w:rsidRPr="00EC398A">
        <w:rPr>
          <w:rFonts w:ascii="Times New Roman" w:hAnsi="Times New Roman" w:cs="Times New Roman"/>
          <w:lang w:val="en-US"/>
        </w:rPr>
        <w:t>A</w:t>
      </w:r>
      <w:proofErr w:type="gramEnd"/>
      <w:r w:rsidRPr="00EC398A">
        <w:rPr>
          <w:rFonts w:ascii="Times New Roman" w:hAnsi="Times New Roman" w:cs="Times New Roman"/>
          <w:lang w:val="en-US"/>
        </w:rPr>
        <w:t xml:space="preserve"> Biol Sci Med Sci</w:t>
      </w:r>
      <w:r w:rsidR="000D3F60">
        <w:rPr>
          <w:rFonts w:ascii="Times New Roman" w:hAnsi="Times New Roman" w:cs="Times New Roman"/>
          <w:lang w:val="en-US"/>
        </w:rPr>
        <w:t>.</w:t>
      </w:r>
      <w:r w:rsidRPr="00EC398A">
        <w:rPr>
          <w:rFonts w:ascii="Times New Roman" w:hAnsi="Times New Roman" w:cs="Times New Roman"/>
          <w:lang w:val="en-US"/>
        </w:rPr>
        <w:t xml:space="preserve"> 2014</w:t>
      </w:r>
      <w:r w:rsidR="000D3F60">
        <w:rPr>
          <w:rFonts w:ascii="Times New Roman" w:hAnsi="Times New Roman" w:cs="Times New Roman"/>
          <w:lang w:val="en-US"/>
        </w:rPr>
        <w:t>;</w:t>
      </w:r>
      <w:r w:rsidRPr="00EC398A">
        <w:rPr>
          <w:rFonts w:ascii="Times New Roman" w:hAnsi="Times New Roman" w:cs="Times New Roman"/>
          <w:lang w:val="en-US"/>
        </w:rPr>
        <w:t xml:space="preserve"> 69(S1)</w:t>
      </w:r>
      <w:r w:rsidR="000D3F60">
        <w:rPr>
          <w:rFonts w:ascii="Times New Roman" w:hAnsi="Times New Roman" w:cs="Times New Roman"/>
          <w:lang w:val="en-US"/>
        </w:rPr>
        <w:t>:</w:t>
      </w:r>
      <w:r w:rsidRPr="00EC398A">
        <w:rPr>
          <w:rFonts w:ascii="Times New Roman" w:hAnsi="Times New Roman" w:cs="Times New Roman"/>
          <w:lang w:val="en-US"/>
        </w:rPr>
        <w:t xml:space="preserve"> S4-9.</w:t>
      </w:r>
    </w:p>
    <w:p w:rsidR="00EC398A" w:rsidRDefault="00862BD1" w:rsidP="005272A2">
      <w:pPr>
        <w:pStyle w:val="Paragrafoelenco"/>
        <w:numPr>
          <w:ilvl w:val="0"/>
          <w:numId w:val="2"/>
        </w:numPr>
        <w:jc w:val="both"/>
        <w:rPr>
          <w:rFonts w:ascii="Times New Roman" w:hAnsi="Times New Roman" w:cs="Times New Roman"/>
          <w:lang w:val="en-US"/>
        </w:rPr>
      </w:pPr>
      <w:r w:rsidRPr="00DC5DDB">
        <w:rPr>
          <w:rFonts w:ascii="Times New Roman" w:hAnsi="Times New Roman" w:cs="Times New Roman"/>
        </w:rPr>
        <w:t>Olivieri</w:t>
      </w:r>
      <w:r w:rsidR="00DC5DDB" w:rsidRPr="00DC5DDB">
        <w:rPr>
          <w:rFonts w:ascii="Times New Roman" w:hAnsi="Times New Roman" w:cs="Times New Roman"/>
        </w:rPr>
        <w:t xml:space="preserve"> F, </w:t>
      </w:r>
      <w:proofErr w:type="spellStart"/>
      <w:r w:rsidR="00DC5DDB" w:rsidRPr="00DC5DDB">
        <w:rPr>
          <w:rFonts w:ascii="Times New Roman" w:hAnsi="Times New Roman" w:cs="Times New Roman"/>
        </w:rPr>
        <w:t>Spazzafumo</w:t>
      </w:r>
      <w:proofErr w:type="spellEnd"/>
      <w:r w:rsidR="00DC5DDB" w:rsidRPr="00DC5DDB">
        <w:rPr>
          <w:rFonts w:ascii="Times New Roman" w:hAnsi="Times New Roman" w:cs="Times New Roman"/>
        </w:rPr>
        <w:t xml:space="preserve"> L, Santini G, Lazzarini R, Albertin</w:t>
      </w:r>
      <w:r w:rsidR="00DC5DDB">
        <w:rPr>
          <w:rFonts w:ascii="Times New Roman" w:hAnsi="Times New Roman" w:cs="Times New Roman"/>
        </w:rPr>
        <w:t xml:space="preserve">i MC, </w:t>
      </w:r>
      <w:proofErr w:type="spellStart"/>
      <w:r w:rsidR="00DC5DDB">
        <w:rPr>
          <w:rFonts w:ascii="Times New Roman" w:hAnsi="Times New Roman" w:cs="Times New Roman"/>
        </w:rPr>
        <w:t>Rippo</w:t>
      </w:r>
      <w:proofErr w:type="spellEnd"/>
      <w:r w:rsidR="00DC5DDB">
        <w:rPr>
          <w:rFonts w:ascii="Times New Roman" w:hAnsi="Times New Roman" w:cs="Times New Roman"/>
        </w:rPr>
        <w:t xml:space="preserve"> M</w:t>
      </w:r>
      <w:r w:rsidR="001070EA">
        <w:rPr>
          <w:rFonts w:ascii="Times New Roman" w:hAnsi="Times New Roman" w:cs="Times New Roman"/>
        </w:rPr>
        <w:t>R</w:t>
      </w:r>
      <w:r w:rsidR="00DC5DDB">
        <w:rPr>
          <w:rFonts w:ascii="Times New Roman" w:hAnsi="Times New Roman" w:cs="Times New Roman"/>
        </w:rPr>
        <w:t>,</w:t>
      </w:r>
      <w:r w:rsidRPr="00DC5DDB">
        <w:rPr>
          <w:rFonts w:ascii="Times New Roman" w:hAnsi="Times New Roman" w:cs="Times New Roman"/>
        </w:rPr>
        <w:t xml:space="preserve"> et al. </w:t>
      </w:r>
      <w:r w:rsidRPr="00EC398A">
        <w:rPr>
          <w:rFonts w:ascii="Times New Roman" w:hAnsi="Times New Roman" w:cs="Times New Roman"/>
          <w:lang w:val="en-US"/>
        </w:rPr>
        <w:t xml:space="preserve">Age-related differences in the expression of circulating microRNAs: miR-21 as a new circulating marker of </w:t>
      </w:r>
      <w:proofErr w:type="spellStart"/>
      <w:r w:rsidRPr="00EC398A">
        <w:rPr>
          <w:rFonts w:ascii="Times New Roman" w:hAnsi="Times New Roman" w:cs="Times New Roman"/>
          <w:lang w:val="en-US"/>
        </w:rPr>
        <w:t>inflammaging</w:t>
      </w:r>
      <w:proofErr w:type="spellEnd"/>
      <w:r w:rsidRPr="00EC398A">
        <w:rPr>
          <w:rFonts w:ascii="Times New Roman" w:hAnsi="Times New Roman" w:cs="Times New Roman"/>
          <w:lang w:val="en-US"/>
        </w:rPr>
        <w:t>. Mech Ageing Dev. 2012</w:t>
      </w:r>
      <w:r w:rsidR="00DC5DDB">
        <w:rPr>
          <w:rFonts w:ascii="Times New Roman" w:hAnsi="Times New Roman" w:cs="Times New Roman"/>
          <w:lang w:val="en-US"/>
        </w:rPr>
        <w:t>; 133(11-12): 675-685.</w:t>
      </w:r>
    </w:p>
    <w:p w:rsidR="00EC398A" w:rsidRDefault="00862BD1" w:rsidP="005272A2">
      <w:pPr>
        <w:pStyle w:val="Paragrafoelenco"/>
        <w:numPr>
          <w:ilvl w:val="0"/>
          <w:numId w:val="2"/>
        </w:numPr>
        <w:jc w:val="both"/>
        <w:rPr>
          <w:rFonts w:ascii="Times New Roman" w:hAnsi="Times New Roman" w:cs="Times New Roman"/>
          <w:lang w:val="en-US"/>
        </w:rPr>
      </w:pPr>
      <w:r w:rsidRPr="007B6660">
        <w:rPr>
          <w:rFonts w:ascii="Times New Roman" w:hAnsi="Times New Roman" w:cs="Times New Roman"/>
        </w:rPr>
        <w:t>Ma</w:t>
      </w:r>
      <w:r w:rsidR="000F3248" w:rsidRPr="007B6660">
        <w:rPr>
          <w:rFonts w:ascii="Times New Roman" w:hAnsi="Times New Roman" w:cs="Times New Roman"/>
        </w:rPr>
        <w:t xml:space="preserve"> X, Becker Buscaglia LE, </w:t>
      </w:r>
      <w:r w:rsidR="007B6660" w:rsidRPr="007B6660">
        <w:rPr>
          <w:rFonts w:ascii="Times New Roman" w:hAnsi="Times New Roman" w:cs="Times New Roman"/>
        </w:rPr>
        <w:t>Barker JR, Li Y</w:t>
      </w:r>
      <w:r w:rsidR="007B6660">
        <w:rPr>
          <w:rFonts w:ascii="Times New Roman" w:hAnsi="Times New Roman" w:cs="Times New Roman"/>
        </w:rPr>
        <w:t>.</w:t>
      </w:r>
      <w:r w:rsidRPr="007B6660">
        <w:rPr>
          <w:rFonts w:ascii="Times New Roman" w:hAnsi="Times New Roman" w:cs="Times New Roman"/>
        </w:rPr>
        <w:t xml:space="preserve"> </w:t>
      </w:r>
      <w:proofErr w:type="spellStart"/>
      <w:r w:rsidRPr="007B6660">
        <w:rPr>
          <w:rFonts w:ascii="Times New Roman" w:hAnsi="Times New Roman" w:cs="Times New Roman"/>
        </w:rPr>
        <w:t>MicroRNAs</w:t>
      </w:r>
      <w:proofErr w:type="spellEnd"/>
      <w:r w:rsidRPr="007B6660">
        <w:rPr>
          <w:rFonts w:ascii="Times New Roman" w:hAnsi="Times New Roman" w:cs="Times New Roman"/>
        </w:rPr>
        <w:t xml:space="preserve"> in NF-</w:t>
      </w:r>
      <w:proofErr w:type="spellStart"/>
      <w:r w:rsidRPr="00EC398A">
        <w:rPr>
          <w:rFonts w:ascii="Times New Roman" w:hAnsi="Times New Roman" w:cs="Times New Roman"/>
        </w:rPr>
        <w:t>κ</w:t>
      </w:r>
      <w:r w:rsidRPr="007B6660">
        <w:rPr>
          <w:rFonts w:ascii="Times New Roman" w:hAnsi="Times New Roman" w:cs="Times New Roman"/>
        </w:rPr>
        <w:t>B</w:t>
      </w:r>
      <w:proofErr w:type="spellEnd"/>
      <w:r w:rsidRPr="007B6660">
        <w:rPr>
          <w:rFonts w:ascii="Times New Roman" w:hAnsi="Times New Roman" w:cs="Times New Roman"/>
        </w:rPr>
        <w:t xml:space="preserve"> </w:t>
      </w:r>
      <w:r w:rsidRPr="002B1C1A">
        <w:rPr>
          <w:rFonts w:ascii="Times New Roman" w:hAnsi="Times New Roman" w:cs="Times New Roman"/>
          <w:noProof/>
        </w:rPr>
        <w:t>signaling</w:t>
      </w:r>
      <w:r w:rsidRPr="007B6660">
        <w:rPr>
          <w:rFonts w:ascii="Times New Roman" w:hAnsi="Times New Roman" w:cs="Times New Roman"/>
        </w:rPr>
        <w:t xml:space="preserve">. </w:t>
      </w:r>
      <w:r w:rsidRPr="00EC398A">
        <w:rPr>
          <w:rFonts w:ascii="Times New Roman" w:hAnsi="Times New Roman" w:cs="Times New Roman"/>
          <w:lang w:val="en-US"/>
        </w:rPr>
        <w:t>J Mol Cell Biol</w:t>
      </w:r>
      <w:r w:rsidR="007B6660">
        <w:rPr>
          <w:rFonts w:ascii="Times New Roman" w:hAnsi="Times New Roman" w:cs="Times New Roman"/>
          <w:lang w:val="en-US"/>
        </w:rPr>
        <w:t>.</w:t>
      </w:r>
      <w:r w:rsidRPr="00EC398A">
        <w:rPr>
          <w:rFonts w:ascii="Times New Roman" w:hAnsi="Times New Roman" w:cs="Times New Roman"/>
          <w:lang w:val="en-US"/>
        </w:rPr>
        <w:t xml:space="preserve"> 2011</w:t>
      </w:r>
      <w:r w:rsidR="007B6660">
        <w:rPr>
          <w:rFonts w:ascii="Times New Roman" w:hAnsi="Times New Roman" w:cs="Times New Roman"/>
          <w:lang w:val="en-US"/>
        </w:rPr>
        <w:t>;</w:t>
      </w:r>
      <w:r w:rsidRPr="00EC398A">
        <w:rPr>
          <w:rFonts w:ascii="Times New Roman" w:hAnsi="Times New Roman" w:cs="Times New Roman"/>
          <w:lang w:val="en-US"/>
        </w:rPr>
        <w:t xml:space="preserve"> 3</w:t>
      </w:r>
      <w:r w:rsidR="007B6660">
        <w:rPr>
          <w:rFonts w:ascii="Times New Roman" w:hAnsi="Times New Roman" w:cs="Times New Roman"/>
          <w:lang w:val="en-US"/>
        </w:rPr>
        <w:t>(3):</w:t>
      </w:r>
      <w:r w:rsidRPr="00EC398A">
        <w:rPr>
          <w:rFonts w:ascii="Times New Roman" w:hAnsi="Times New Roman" w:cs="Times New Roman"/>
          <w:lang w:val="en-US"/>
        </w:rPr>
        <w:t xml:space="preserve"> 159-166.</w:t>
      </w:r>
    </w:p>
    <w:p w:rsidR="00EC398A" w:rsidRDefault="00862BD1" w:rsidP="005272A2">
      <w:pPr>
        <w:pStyle w:val="Paragrafoelenco"/>
        <w:numPr>
          <w:ilvl w:val="0"/>
          <w:numId w:val="2"/>
        </w:numPr>
        <w:jc w:val="both"/>
        <w:rPr>
          <w:rFonts w:ascii="Times New Roman" w:hAnsi="Times New Roman" w:cs="Times New Roman"/>
          <w:lang w:val="en-US"/>
        </w:rPr>
      </w:pPr>
      <w:r w:rsidRPr="00EC398A">
        <w:rPr>
          <w:rFonts w:ascii="Times New Roman" w:hAnsi="Times New Roman" w:cs="Times New Roman"/>
          <w:lang w:val="en-US"/>
        </w:rPr>
        <w:t>Baud</w:t>
      </w:r>
      <w:r w:rsidR="0094631F">
        <w:rPr>
          <w:rFonts w:ascii="Times New Roman" w:hAnsi="Times New Roman" w:cs="Times New Roman"/>
          <w:lang w:val="en-US"/>
        </w:rPr>
        <w:t xml:space="preserve"> V,</w:t>
      </w:r>
      <w:r w:rsidRPr="00EC398A">
        <w:rPr>
          <w:rFonts w:ascii="Times New Roman" w:hAnsi="Times New Roman" w:cs="Times New Roman"/>
          <w:lang w:val="en-US"/>
        </w:rPr>
        <w:t xml:space="preserve"> Karin</w:t>
      </w:r>
      <w:r w:rsidR="0094631F">
        <w:rPr>
          <w:rFonts w:ascii="Times New Roman" w:hAnsi="Times New Roman" w:cs="Times New Roman"/>
          <w:lang w:val="en-US"/>
        </w:rPr>
        <w:t xml:space="preserve"> M</w:t>
      </w:r>
      <w:r w:rsidRPr="00EC398A">
        <w:rPr>
          <w:rFonts w:ascii="Times New Roman" w:hAnsi="Times New Roman" w:cs="Times New Roman"/>
          <w:lang w:val="en-US"/>
        </w:rPr>
        <w:t>. Is NF-</w:t>
      </w:r>
      <w:proofErr w:type="spellStart"/>
      <w:r w:rsidR="00D44BC7" w:rsidRPr="00D44BC7">
        <w:rPr>
          <w:rFonts w:ascii="Times New Roman" w:hAnsi="Times New Roman" w:cs="Times New Roman"/>
          <w:lang w:val="en-US"/>
        </w:rPr>
        <w:t>kappa</w:t>
      </w:r>
      <w:r w:rsidRPr="00EC398A">
        <w:rPr>
          <w:rFonts w:ascii="Times New Roman" w:hAnsi="Times New Roman" w:cs="Times New Roman"/>
          <w:lang w:val="en-US"/>
        </w:rPr>
        <w:t>B</w:t>
      </w:r>
      <w:proofErr w:type="spellEnd"/>
      <w:r w:rsidRPr="00EC398A">
        <w:rPr>
          <w:rFonts w:ascii="Times New Roman" w:hAnsi="Times New Roman" w:cs="Times New Roman"/>
          <w:lang w:val="en-US"/>
        </w:rPr>
        <w:t xml:space="preserve"> a good target for cancer therapy? Hopes and pitfalls. Nat Rev Drug </w:t>
      </w:r>
      <w:proofErr w:type="spellStart"/>
      <w:r w:rsidRPr="00EC398A">
        <w:rPr>
          <w:rFonts w:ascii="Times New Roman" w:hAnsi="Times New Roman" w:cs="Times New Roman"/>
          <w:lang w:val="en-US"/>
        </w:rPr>
        <w:t>Discov</w:t>
      </w:r>
      <w:proofErr w:type="spellEnd"/>
      <w:r w:rsidRPr="00EC398A">
        <w:rPr>
          <w:rFonts w:ascii="Times New Roman" w:hAnsi="Times New Roman" w:cs="Times New Roman"/>
          <w:lang w:val="en-US"/>
        </w:rPr>
        <w:t>. 2009</w:t>
      </w:r>
      <w:r w:rsidR="0094631F">
        <w:rPr>
          <w:rFonts w:ascii="Times New Roman" w:hAnsi="Times New Roman" w:cs="Times New Roman"/>
          <w:lang w:val="en-US"/>
        </w:rPr>
        <w:t>;</w:t>
      </w:r>
      <w:r w:rsidRPr="00EC398A">
        <w:rPr>
          <w:rFonts w:ascii="Times New Roman" w:hAnsi="Times New Roman" w:cs="Times New Roman"/>
          <w:lang w:val="en-US"/>
        </w:rPr>
        <w:t xml:space="preserve"> 8</w:t>
      </w:r>
      <w:r w:rsidR="0094631F">
        <w:rPr>
          <w:rFonts w:ascii="Times New Roman" w:hAnsi="Times New Roman" w:cs="Times New Roman"/>
          <w:lang w:val="en-US"/>
        </w:rPr>
        <w:t>(1):</w:t>
      </w:r>
      <w:r w:rsidRPr="00EC398A">
        <w:rPr>
          <w:rFonts w:ascii="Times New Roman" w:hAnsi="Times New Roman" w:cs="Times New Roman"/>
          <w:lang w:val="en-US"/>
        </w:rPr>
        <w:t xml:space="preserve"> 33-40.</w:t>
      </w:r>
    </w:p>
    <w:p w:rsidR="00EC398A" w:rsidRDefault="00862BD1" w:rsidP="005272A2">
      <w:pPr>
        <w:pStyle w:val="Paragrafoelenco"/>
        <w:numPr>
          <w:ilvl w:val="0"/>
          <w:numId w:val="2"/>
        </w:numPr>
        <w:jc w:val="both"/>
        <w:rPr>
          <w:rFonts w:ascii="Times New Roman" w:hAnsi="Times New Roman" w:cs="Times New Roman"/>
          <w:lang w:val="en-US"/>
        </w:rPr>
      </w:pPr>
      <w:r w:rsidRPr="00EC398A">
        <w:rPr>
          <w:rFonts w:ascii="Times New Roman" w:hAnsi="Times New Roman" w:cs="Times New Roman"/>
          <w:lang w:val="en-US"/>
        </w:rPr>
        <w:t>Liang</w:t>
      </w:r>
      <w:r w:rsidR="00A7451E">
        <w:rPr>
          <w:rFonts w:ascii="Times New Roman" w:hAnsi="Times New Roman" w:cs="Times New Roman"/>
          <w:lang w:val="en-US"/>
        </w:rPr>
        <w:t xml:space="preserve"> R,</w:t>
      </w:r>
      <w:r w:rsidRPr="00EC398A">
        <w:rPr>
          <w:rFonts w:ascii="Times New Roman" w:hAnsi="Times New Roman" w:cs="Times New Roman"/>
          <w:lang w:val="en-US"/>
        </w:rPr>
        <w:t xml:space="preserve"> </w:t>
      </w:r>
      <w:r w:rsidR="00A7451E">
        <w:rPr>
          <w:rFonts w:ascii="Times New Roman" w:hAnsi="Times New Roman" w:cs="Times New Roman"/>
          <w:lang w:val="en-US"/>
        </w:rPr>
        <w:t>Bates DJ, Wang E</w:t>
      </w:r>
      <w:r w:rsidRPr="00EC398A">
        <w:rPr>
          <w:rFonts w:ascii="Times New Roman" w:hAnsi="Times New Roman" w:cs="Times New Roman"/>
          <w:lang w:val="en-US"/>
        </w:rPr>
        <w:t>. Epigenetic Control of MicroRNA Expression and Aging</w:t>
      </w:r>
      <w:r w:rsidR="00A7451E">
        <w:rPr>
          <w:rFonts w:ascii="Times New Roman" w:hAnsi="Times New Roman" w:cs="Times New Roman"/>
          <w:lang w:val="en-US"/>
        </w:rPr>
        <w:t>.</w:t>
      </w:r>
      <w:r w:rsidRPr="00EC398A">
        <w:rPr>
          <w:rFonts w:ascii="Times New Roman" w:hAnsi="Times New Roman" w:cs="Times New Roman"/>
          <w:lang w:val="en-US"/>
        </w:rPr>
        <w:t xml:space="preserve"> </w:t>
      </w:r>
      <w:proofErr w:type="spellStart"/>
      <w:r w:rsidRPr="00EC398A">
        <w:rPr>
          <w:rFonts w:ascii="Times New Roman" w:hAnsi="Times New Roman" w:cs="Times New Roman"/>
          <w:lang w:val="en-US"/>
        </w:rPr>
        <w:t>Curr</w:t>
      </w:r>
      <w:proofErr w:type="spellEnd"/>
      <w:r w:rsidR="00C15A17">
        <w:rPr>
          <w:rFonts w:ascii="Times New Roman" w:hAnsi="Times New Roman" w:cs="Times New Roman"/>
          <w:lang w:val="en-US"/>
        </w:rPr>
        <w:t xml:space="preserve"> </w:t>
      </w:r>
      <w:r w:rsidRPr="00EC398A">
        <w:rPr>
          <w:rFonts w:ascii="Times New Roman" w:hAnsi="Times New Roman" w:cs="Times New Roman"/>
          <w:lang w:val="en-US"/>
        </w:rPr>
        <w:t>Genomics</w:t>
      </w:r>
      <w:r w:rsidR="00A7451E">
        <w:rPr>
          <w:rFonts w:ascii="Times New Roman" w:hAnsi="Times New Roman" w:cs="Times New Roman"/>
          <w:lang w:val="en-US"/>
        </w:rPr>
        <w:t>.</w:t>
      </w:r>
      <w:r w:rsidRPr="00EC398A">
        <w:rPr>
          <w:rFonts w:ascii="Times New Roman" w:hAnsi="Times New Roman" w:cs="Times New Roman"/>
          <w:lang w:val="en-US"/>
        </w:rPr>
        <w:t xml:space="preserve"> 2009</w:t>
      </w:r>
      <w:r w:rsidR="00A7451E">
        <w:rPr>
          <w:rFonts w:ascii="Times New Roman" w:hAnsi="Times New Roman" w:cs="Times New Roman"/>
          <w:lang w:val="en-US"/>
        </w:rPr>
        <w:t>;</w:t>
      </w:r>
      <w:r w:rsidRPr="00EC398A">
        <w:rPr>
          <w:rFonts w:ascii="Times New Roman" w:hAnsi="Times New Roman" w:cs="Times New Roman"/>
          <w:lang w:val="en-US"/>
        </w:rPr>
        <w:t xml:space="preserve"> 10</w:t>
      </w:r>
      <w:r w:rsidR="00A7451E">
        <w:rPr>
          <w:rFonts w:ascii="Times New Roman" w:hAnsi="Times New Roman" w:cs="Times New Roman"/>
          <w:lang w:val="en-US"/>
        </w:rPr>
        <w:t>(3):</w:t>
      </w:r>
      <w:r w:rsidRPr="00EC398A">
        <w:rPr>
          <w:rFonts w:ascii="Times New Roman" w:hAnsi="Times New Roman" w:cs="Times New Roman"/>
          <w:lang w:val="en-US"/>
        </w:rPr>
        <w:t xml:space="preserve"> 184-193.</w:t>
      </w:r>
    </w:p>
    <w:p w:rsidR="00EC398A" w:rsidRDefault="00862BD1" w:rsidP="005272A2">
      <w:pPr>
        <w:pStyle w:val="Paragrafoelenco"/>
        <w:numPr>
          <w:ilvl w:val="0"/>
          <w:numId w:val="2"/>
        </w:numPr>
        <w:jc w:val="both"/>
        <w:rPr>
          <w:rFonts w:ascii="Times New Roman" w:hAnsi="Times New Roman" w:cs="Times New Roman"/>
          <w:lang w:val="en-US"/>
        </w:rPr>
      </w:pPr>
      <w:r w:rsidRPr="00EC398A">
        <w:rPr>
          <w:rFonts w:ascii="Times New Roman" w:hAnsi="Times New Roman" w:cs="Times New Roman"/>
          <w:lang w:val="en-US"/>
        </w:rPr>
        <w:t>Thakur</w:t>
      </w:r>
      <w:r w:rsidR="00D8450A" w:rsidRPr="00D8450A">
        <w:rPr>
          <w:rFonts w:ascii="Times New Roman" w:hAnsi="Times New Roman" w:cs="Times New Roman"/>
          <w:lang w:val="en-US"/>
        </w:rPr>
        <w:t xml:space="preserve"> </w:t>
      </w:r>
      <w:r w:rsidR="00D8450A" w:rsidRPr="00EC398A">
        <w:rPr>
          <w:rFonts w:ascii="Times New Roman" w:hAnsi="Times New Roman" w:cs="Times New Roman"/>
          <w:lang w:val="en-US"/>
        </w:rPr>
        <w:t>GA</w:t>
      </w:r>
      <w:r w:rsidR="00D8450A">
        <w:rPr>
          <w:rFonts w:ascii="Times New Roman" w:hAnsi="Times New Roman" w:cs="Times New Roman"/>
          <w:lang w:val="en-US"/>
        </w:rPr>
        <w:t xml:space="preserve">, </w:t>
      </w:r>
      <w:proofErr w:type="spellStart"/>
      <w:r w:rsidR="00D8450A">
        <w:rPr>
          <w:rFonts w:ascii="Times New Roman" w:hAnsi="Times New Roman" w:cs="Times New Roman"/>
          <w:lang w:val="en-US"/>
        </w:rPr>
        <w:t>Nikas</w:t>
      </w:r>
      <w:proofErr w:type="spellEnd"/>
      <w:r w:rsidR="00D8450A">
        <w:rPr>
          <w:rFonts w:ascii="Times New Roman" w:hAnsi="Times New Roman" w:cs="Times New Roman"/>
          <w:lang w:val="en-US"/>
        </w:rPr>
        <w:t xml:space="preserve"> SP, </w:t>
      </w:r>
      <w:proofErr w:type="spellStart"/>
      <w:r w:rsidR="00D8450A">
        <w:rPr>
          <w:rFonts w:ascii="Times New Roman" w:hAnsi="Times New Roman" w:cs="Times New Roman"/>
          <w:lang w:val="en-US"/>
        </w:rPr>
        <w:t>Makriyannis</w:t>
      </w:r>
      <w:proofErr w:type="spellEnd"/>
      <w:r w:rsidR="00D8450A">
        <w:rPr>
          <w:rFonts w:ascii="Times New Roman" w:hAnsi="Times New Roman" w:cs="Times New Roman"/>
          <w:lang w:val="en-US"/>
        </w:rPr>
        <w:t xml:space="preserve"> A.</w:t>
      </w:r>
      <w:r w:rsidRPr="00EC398A">
        <w:rPr>
          <w:rFonts w:ascii="Times New Roman" w:hAnsi="Times New Roman" w:cs="Times New Roman"/>
          <w:lang w:val="en-US"/>
        </w:rPr>
        <w:t xml:space="preserve"> CB1 cannabinoid receptor ligands</w:t>
      </w:r>
      <w:r w:rsidR="00D8450A">
        <w:rPr>
          <w:rFonts w:ascii="Times New Roman" w:hAnsi="Times New Roman" w:cs="Times New Roman"/>
          <w:lang w:val="en-US"/>
        </w:rPr>
        <w:t>.</w:t>
      </w:r>
      <w:r w:rsidRPr="00EC398A">
        <w:rPr>
          <w:rFonts w:ascii="Times New Roman" w:hAnsi="Times New Roman" w:cs="Times New Roman"/>
          <w:lang w:val="en-US"/>
        </w:rPr>
        <w:t xml:space="preserve"> Mini Rev Med Chem</w:t>
      </w:r>
      <w:r w:rsidR="00D8450A">
        <w:rPr>
          <w:rFonts w:ascii="Times New Roman" w:hAnsi="Times New Roman" w:cs="Times New Roman"/>
          <w:lang w:val="en-US"/>
        </w:rPr>
        <w:t>.</w:t>
      </w:r>
      <w:r w:rsidRPr="00EC398A">
        <w:rPr>
          <w:rFonts w:ascii="Times New Roman" w:hAnsi="Times New Roman" w:cs="Times New Roman"/>
          <w:lang w:val="en-US"/>
        </w:rPr>
        <w:t xml:space="preserve"> 2005</w:t>
      </w:r>
      <w:r w:rsidR="00D8450A">
        <w:rPr>
          <w:rFonts w:ascii="Times New Roman" w:hAnsi="Times New Roman" w:cs="Times New Roman"/>
          <w:lang w:val="en-US"/>
        </w:rPr>
        <w:t>;</w:t>
      </w:r>
      <w:r w:rsidRPr="00EC398A">
        <w:rPr>
          <w:rFonts w:ascii="Times New Roman" w:hAnsi="Times New Roman" w:cs="Times New Roman"/>
          <w:lang w:val="en-US"/>
        </w:rPr>
        <w:t xml:space="preserve"> 5</w:t>
      </w:r>
      <w:r w:rsidR="00D8450A">
        <w:rPr>
          <w:rFonts w:ascii="Times New Roman" w:hAnsi="Times New Roman" w:cs="Times New Roman"/>
          <w:lang w:val="en-US"/>
        </w:rPr>
        <w:t>(7):</w:t>
      </w:r>
      <w:r w:rsidRPr="00EC398A">
        <w:rPr>
          <w:rFonts w:ascii="Times New Roman" w:hAnsi="Times New Roman" w:cs="Times New Roman"/>
          <w:lang w:val="en-US"/>
        </w:rPr>
        <w:t xml:space="preserve"> 631–640.</w:t>
      </w:r>
    </w:p>
    <w:p w:rsidR="00EC398A" w:rsidRDefault="00862BD1" w:rsidP="005272A2">
      <w:pPr>
        <w:pStyle w:val="Paragrafoelenco"/>
        <w:numPr>
          <w:ilvl w:val="0"/>
          <w:numId w:val="2"/>
        </w:numPr>
        <w:jc w:val="both"/>
        <w:rPr>
          <w:rFonts w:ascii="Times New Roman" w:hAnsi="Times New Roman" w:cs="Times New Roman"/>
          <w:lang w:val="en-US"/>
        </w:rPr>
      </w:pPr>
      <w:proofErr w:type="spellStart"/>
      <w:r w:rsidRPr="00EC398A">
        <w:rPr>
          <w:rFonts w:ascii="Times New Roman" w:hAnsi="Times New Roman" w:cs="Times New Roman"/>
          <w:lang w:val="en-US"/>
        </w:rPr>
        <w:t>B</w:t>
      </w:r>
      <w:r w:rsidR="00D47421">
        <w:rPr>
          <w:rFonts w:ascii="Times New Roman" w:hAnsi="Times New Roman" w:cs="Times New Roman"/>
          <w:lang w:val="en-US"/>
        </w:rPr>
        <w:t>ί</w:t>
      </w:r>
      <w:r w:rsidRPr="00EC398A">
        <w:rPr>
          <w:rFonts w:ascii="Times New Roman" w:hAnsi="Times New Roman" w:cs="Times New Roman"/>
          <w:lang w:val="en-US"/>
        </w:rPr>
        <w:t>r</w:t>
      </w:r>
      <w:r w:rsidR="00D47421">
        <w:rPr>
          <w:rFonts w:ascii="Times New Roman" w:hAnsi="Times New Roman" w:cs="Times New Roman"/>
          <w:lang w:val="en-US"/>
        </w:rPr>
        <w:t>ό</w:t>
      </w:r>
      <w:proofErr w:type="spellEnd"/>
      <w:r w:rsidR="00B41FEE">
        <w:rPr>
          <w:rFonts w:ascii="Times New Roman" w:hAnsi="Times New Roman" w:cs="Times New Roman"/>
          <w:lang w:val="en-US"/>
        </w:rPr>
        <w:t xml:space="preserve"> T, </w:t>
      </w:r>
      <w:proofErr w:type="spellStart"/>
      <w:r w:rsidR="00D47421">
        <w:rPr>
          <w:rFonts w:ascii="Times New Roman" w:hAnsi="Times New Roman" w:cs="Times New Roman"/>
          <w:lang w:val="en-US"/>
        </w:rPr>
        <w:t>Tόth</w:t>
      </w:r>
      <w:proofErr w:type="spellEnd"/>
      <w:r w:rsidR="00D47421">
        <w:rPr>
          <w:rFonts w:ascii="Times New Roman" w:hAnsi="Times New Roman" w:cs="Times New Roman"/>
          <w:lang w:val="en-US"/>
        </w:rPr>
        <w:t xml:space="preserve"> BI, </w:t>
      </w:r>
      <w:proofErr w:type="spellStart"/>
      <w:r w:rsidR="00D47421">
        <w:rPr>
          <w:rFonts w:ascii="Times New Roman" w:hAnsi="Times New Roman" w:cs="Times New Roman"/>
          <w:lang w:val="en-US"/>
        </w:rPr>
        <w:t>Haskό</w:t>
      </w:r>
      <w:proofErr w:type="spellEnd"/>
      <w:r w:rsidR="00D47421">
        <w:rPr>
          <w:rFonts w:ascii="Times New Roman" w:hAnsi="Times New Roman" w:cs="Times New Roman"/>
          <w:lang w:val="en-US"/>
        </w:rPr>
        <w:t xml:space="preserve"> G, Paus R, Pacher P.</w:t>
      </w:r>
      <w:r w:rsidRPr="00EC398A">
        <w:rPr>
          <w:rFonts w:ascii="Times New Roman" w:hAnsi="Times New Roman" w:cs="Times New Roman"/>
          <w:lang w:val="en-US"/>
        </w:rPr>
        <w:t xml:space="preserve"> The endocannabinoid system of the skin in health and disease: novel perspectives and therapeutic opportunities. Trends </w:t>
      </w:r>
      <w:proofErr w:type="spellStart"/>
      <w:r w:rsidRPr="00EC398A">
        <w:rPr>
          <w:rFonts w:ascii="Times New Roman" w:hAnsi="Times New Roman" w:cs="Times New Roman"/>
          <w:lang w:val="en-US"/>
        </w:rPr>
        <w:t>Pharmacol</w:t>
      </w:r>
      <w:proofErr w:type="spellEnd"/>
      <w:r w:rsidRPr="00EC398A">
        <w:rPr>
          <w:rFonts w:ascii="Times New Roman" w:hAnsi="Times New Roman" w:cs="Times New Roman"/>
          <w:lang w:val="en-US"/>
        </w:rPr>
        <w:t xml:space="preserve"> Sci</w:t>
      </w:r>
      <w:r w:rsidR="00D47421">
        <w:rPr>
          <w:rFonts w:ascii="Times New Roman" w:hAnsi="Times New Roman" w:cs="Times New Roman"/>
          <w:lang w:val="en-US"/>
        </w:rPr>
        <w:t>.</w:t>
      </w:r>
      <w:r w:rsidRPr="00EC398A">
        <w:rPr>
          <w:rFonts w:ascii="Times New Roman" w:hAnsi="Times New Roman" w:cs="Times New Roman"/>
          <w:lang w:val="en-US"/>
        </w:rPr>
        <w:t xml:space="preserve"> 2009</w:t>
      </w:r>
      <w:r w:rsidR="00D47421">
        <w:rPr>
          <w:rFonts w:ascii="Times New Roman" w:hAnsi="Times New Roman" w:cs="Times New Roman"/>
          <w:lang w:val="en-US"/>
        </w:rPr>
        <w:t>;</w:t>
      </w:r>
      <w:r w:rsidRPr="00EC398A">
        <w:rPr>
          <w:rFonts w:ascii="Times New Roman" w:hAnsi="Times New Roman" w:cs="Times New Roman"/>
          <w:lang w:val="en-US"/>
        </w:rPr>
        <w:t xml:space="preserve"> 30(8)</w:t>
      </w:r>
      <w:r w:rsidR="00D47421">
        <w:rPr>
          <w:rFonts w:ascii="Times New Roman" w:hAnsi="Times New Roman" w:cs="Times New Roman"/>
          <w:lang w:val="en-US"/>
        </w:rPr>
        <w:t>:</w:t>
      </w:r>
      <w:r w:rsidRPr="00EC398A">
        <w:rPr>
          <w:rFonts w:ascii="Times New Roman" w:hAnsi="Times New Roman" w:cs="Times New Roman"/>
          <w:lang w:val="en-US"/>
        </w:rPr>
        <w:t xml:space="preserve"> 411–420.</w:t>
      </w:r>
    </w:p>
    <w:p w:rsidR="00EC398A" w:rsidRDefault="00862BD1" w:rsidP="005272A2">
      <w:pPr>
        <w:pStyle w:val="Paragrafoelenco"/>
        <w:numPr>
          <w:ilvl w:val="0"/>
          <w:numId w:val="2"/>
        </w:numPr>
        <w:jc w:val="both"/>
        <w:rPr>
          <w:rFonts w:ascii="Times New Roman" w:hAnsi="Times New Roman" w:cs="Times New Roman"/>
          <w:lang w:val="en-US"/>
        </w:rPr>
      </w:pPr>
      <w:r w:rsidRPr="00CF5A29">
        <w:rPr>
          <w:rFonts w:ascii="Times New Roman" w:hAnsi="Times New Roman" w:cs="Times New Roman"/>
        </w:rPr>
        <w:t>Petrosino</w:t>
      </w:r>
      <w:r w:rsidR="00CF5A29" w:rsidRPr="00CF5A29">
        <w:rPr>
          <w:rFonts w:ascii="Times New Roman" w:hAnsi="Times New Roman" w:cs="Times New Roman"/>
        </w:rPr>
        <w:t xml:space="preserve"> S, Cristino L, </w:t>
      </w:r>
      <w:proofErr w:type="spellStart"/>
      <w:r w:rsidR="00CF5A29" w:rsidRPr="00CF5A29">
        <w:rPr>
          <w:rFonts w:ascii="Times New Roman" w:hAnsi="Times New Roman" w:cs="Times New Roman"/>
        </w:rPr>
        <w:t>Karsak</w:t>
      </w:r>
      <w:proofErr w:type="spellEnd"/>
      <w:r w:rsidR="00CF5A29" w:rsidRPr="00CF5A29">
        <w:rPr>
          <w:rFonts w:ascii="Times New Roman" w:hAnsi="Times New Roman" w:cs="Times New Roman"/>
        </w:rPr>
        <w:t xml:space="preserve"> M, </w:t>
      </w:r>
      <w:proofErr w:type="spellStart"/>
      <w:r w:rsidR="00CF5A29" w:rsidRPr="00CF5A29">
        <w:rPr>
          <w:rFonts w:ascii="Times New Roman" w:hAnsi="Times New Roman" w:cs="Times New Roman"/>
        </w:rPr>
        <w:t>Gaffal</w:t>
      </w:r>
      <w:proofErr w:type="spellEnd"/>
      <w:r w:rsidR="00CF5A29" w:rsidRPr="00CF5A29">
        <w:rPr>
          <w:rFonts w:ascii="Times New Roman" w:hAnsi="Times New Roman" w:cs="Times New Roman"/>
        </w:rPr>
        <w:t xml:space="preserve"> E, </w:t>
      </w:r>
      <w:proofErr w:type="spellStart"/>
      <w:r w:rsidR="00CF5A29" w:rsidRPr="00CF5A29">
        <w:rPr>
          <w:rFonts w:ascii="Times New Roman" w:hAnsi="Times New Roman" w:cs="Times New Roman"/>
        </w:rPr>
        <w:t>Ueda</w:t>
      </w:r>
      <w:proofErr w:type="spellEnd"/>
      <w:r w:rsidR="00CF5A29" w:rsidRPr="00CF5A29">
        <w:rPr>
          <w:rFonts w:ascii="Times New Roman" w:hAnsi="Times New Roman" w:cs="Times New Roman"/>
        </w:rPr>
        <w:t xml:space="preserve"> N, </w:t>
      </w:r>
      <w:proofErr w:type="spellStart"/>
      <w:r w:rsidR="00CF5A29" w:rsidRPr="00CF5A29">
        <w:rPr>
          <w:rFonts w:ascii="Times New Roman" w:hAnsi="Times New Roman" w:cs="Times New Roman"/>
        </w:rPr>
        <w:t>T</w:t>
      </w:r>
      <w:r w:rsidR="00CF5A29" w:rsidRPr="00CF5A29">
        <w:rPr>
          <w:rFonts w:ascii="Times New Roman" w:hAnsi="Times New Roman" w:cs="Times New Roman"/>
          <w:bCs/>
          <w:color w:val="222222"/>
        </w:rPr>
        <w:t>ü</w:t>
      </w:r>
      <w:r w:rsidR="00CF5A29" w:rsidRPr="00CF5A29">
        <w:rPr>
          <w:rFonts w:ascii="Times New Roman" w:hAnsi="Times New Roman" w:cs="Times New Roman"/>
        </w:rPr>
        <w:t>tin</w:t>
      </w:r>
      <w:r w:rsidR="00CF5A29">
        <w:rPr>
          <w:rFonts w:ascii="Times New Roman" w:hAnsi="Times New Roman" w:cs="Times New Roman"/>
        </w:rPr>
        <w:t>g</w:t>
      </w:r>
      <w:proofErr w:type="spellEnd"/>
      <w:r w:rsidR="00CF5A29">
        <w:rPr>
          <w:rFonts w:ascii="Times New Roman" w:hAnsi="Times New Roman" w:cs="Times New Roman"/>
        </w:rPr>
        <w:t xml:space="preserve"> T,</w:t>
      </w:r>
      <w:r w:rsidRPr="00CF5A29">
        <w:rPr>
          <w:rFonts w:ascii="Times New Roman" w:hAnsi="Times New Roman" w:cs="Times New Roman"/>
        </w:rPr>
        <w:t xml:space="preserve"> et al. </w:t>
      </w:r>
      <w:r w:rsidRPr="00EC398A">
        <w:rPr>
          <w:rFonts w:ascii="Times New Roman" w:hAnsi="Times New Roman" w:cs="Times New Roman"/>
          <w:lang w:val="en-US"/>
        </w:rPr>
        <w:t xml:space="preserve">Protective role of </w:t>
      </w:r>
      <w:proofErr w:type="spellStart"/>
      <w:r w:rsidRPr="00EC398A">
        <w:rPr>
          <w:rFonts w:ascii="Times New Roman" w:hAnsi="Times New Roman" w:cs="Times New Roman"/>
          <w:lang w:val="en-US"/>
        </w:rPr>
        <w:t>palmitoylethanolamide</w:t>
      </w:r>
      <w:proofErr w:type="spellEnd"/>
      <w:r w:rsidRPr="00EC398A">
        <w:rPr>
          <w:rFonts w:ascii="Times New Roman" w:hAnsi="Times New Roman" w:cs="Times New Roman"/>
          <w:lang w:val="en-US"/>
        </w:rPr>
        <w:t xml:space="preserve"> in contact allergic dermatitis. Allergy</w:t>
      </w:r>
      <w:r w:rsidR="003655B3">
        <w:rPr>
          <w:rFonts w:ascii="Times New Roman" w:hAnsi="Times New Roman" w:cs="Times New Roman"/>
          <w:lang w:val="en-US"/>
        </w:rPr>
        <w:t>.</w:t>
      </w:r>
      <w:r w:rsidRPr="00EC398A">
        <w:rPr>
          <w:rFonts w:ascii="Times New Roman" w:hAnsi="Times New Roman" w:cs="Times New Roman"/>
          <w:lang w:val="en-US"/>
        </w:rPr>
        <w:t xml:space="preserve"> 2010</w:t>
      </w:r>
      <w:r w:rsidR="003655B3">
        <w:rPr>
          <w:rFonts w:ascii="Times New Roman" w:hAnsi="Times New Roman" w:cs="Times New Roman"/>
          <w:lang w:val="en-US"/>
        </w:rPr>
        <w:t>;</w:t>
      </w:r>
      <w:r w:rsidRPr="00EC398A">
        <w:rPr>
          <w:rFonts w:ascii="Times New Roman" w:hAnsi="Times New Roman" w:cs="Times New Roman"/>
          <w:lang w:val="en-US"/>
        </w:rPr>
        <w:t xml:space="preserve"> 65</w:t>
      </w:r>
      <w:r w:rsidR="00C15A17">
        <w:rPr>
          <w:rFonts w:ascii="Times New Roman" w:hAnsi="Times New Roman" w:cs="Times New Roman"/>
          <w:lang w:val="en-US"/>
        </w:rPr>
        <w:t>(6)</w:t>
      </w:r>
      <w:r w:rsidR="003655B3">
        <w:rPr>
          <w:rFonts w:ascii="Times New Roman" w:hAnsi="Times New Roman" w:cs="Times New Roman"/>
          <w:lang w:val="en-US"/>
        </w:rPr>
        <w:t>:</w:t>
      </w:r>
      <w:r w:rsidRPr="00EC398A">
        <w:rPr>
          <w:rFonts w:ascii="Times New Roman" w:hAnsi="Times New Roman" w:cs="Times New Roman"/>
          <w:lang w:val="en-US"/>
        </w:rPr>
        <w:t xml:space="preserve"> 698-711.</w:t>
      </w:r>
    </w:p>
    <w:p w:rsidR="00EC398A" w:rsidRDefault="00862BD1" w:rsidP="005272A2">
      <w:pPr>
        <w:pStyle w:val="Paragrafoelenco"/>
        <w:numPr>
          <w:ilvl w:val="0"/>
          <w:numId w:val="2"/>
        </w:numPr>
        <w:jc w:val="both"/>
        <w:rPr>
          <w:rFonts w:ascii="Times New Roman" w:hAnsi="Times New Roman" w:cs="Times New Roman"/>
          <w:lang w:val="en-US"/>
        </w:rPr>
      </w:pPr>
      <w:r w:rsidRPr="00EC398A">
        <w:rPr>
          <w:rFonts w:ascii="Times New Roman" w:hAnsi="Times New Roman" w:cs="Times New Roman"/>
          <w:lang w:val="en-US"/>
        </w:rPr>
        <w:lastRenderedPageBreak/>
        <w:t>Sancho</w:t>
      </w:r>
      <w:r w:rsidR="00385FDC">
        <w:rPr>
          <w:rFonts w:ascii="Times New Roman" w:hAnsi="Times New Roman" w:cs="Times New Roman"/>
          <w:lang w:val="en-US"/>
        </w:rPr>
        <w:t xml:space="preserve"> R, </w:t>
      </w:r>
      <w:proofErr w:type="spellStart"/>
      <w:r w:rsidR="00385FDC">
        <w:rPr>
          <w:rFonts w:ascii="Times New Roman" w:hAnsi="Times New Roman" w:cs="Times New Roman"/>
          <w:lang w:val="en-US"/>
        </w:rPr>
        <w:t>Calzado</w:t>
      </w:r>
      <w:proofErr w:type="spellEnd"/>
      <w:r w:rsidR="00385FDC">
        <w:rPr>
          <w:rFonts w:ascii="Times New Roman" w:hAnsi="Times New Roman" w:cs="Times New Roman"/>
          <w:lang w:val="en-US"/>
        </w:rPr>
        <w:t xml:space="preserve"> MA, Di </w:t>
      </w:r>
      <w:proofErr w:type="spellStart"/>
      <w:r w:rsidR="00385FDC">
        <w:rPr>
          <w:rFonts w:ascii="Times New Roman" w:hAnsi="Times New Roman" w:cs="Times New Roman"/>
          <w:lang w:val="en-US"/>
        </w:rPr>
        <w:t>Marzo</w:t>
      </w:r>
      <w:proofErr w:type="spellEnd"/>
      <w:r w:rsidR="00385FDC">
        <w:rPr>
          <w:rFonts w:ascii="Times New Roman" w:hAnsi="Times New Roman" w:cs="Times New Roman"/>
          <w:lang w:val="en-US"/>
        </w:rPr>
        <w:t xml:space="preserve"> V, </w:t>
      </w:r>
      <w:proofErr w:type="spellStart"/>
      <w:r w:rsidR="00385FDC">
        <w:rPr>
          <w:rFonts w:ascii="Times New Roman" w:hAnsi="Times New Roman" w:cs="Times New Roman"/>
          <w:lang w:val="en-US"/>
        </w:rPr>
        <w:t>Appendino</w:t>
      </w:r>
      <w:proofErr w:type="spellEnd"/>
      <w:r w:rsidR="00385FDC">
        <w:rPr>
          <w:rFonts w:ascii="Times New Roman" w:hAnsi="Times New Roman" w:cs="Times New Roman"/>
          <w:lang w:val="en-US"/>
        </w:rPr>
        <w:t xml:space="preserve"> G, Mu</w:t>
      </w:r>
      <w:r w:rsidR="000E5195" w:rsidRPr="000E5195">
        <w:rPr>
          <w:rFonts w:ascii="Times New Roman" w:hAnsi="Times New Roman" w:cs="Times New Roman"/>
          <w:bCs/>
          <w:color w:val="222222"/>
          <w:lang w:val="en-US"/>
        </w:rPr>
        <w:t>ñ</w:t>
      </w:r>
      <w:r w:rsidR="00385FDC">
        <w:rPr>
          <w:rFonts w:ascii="Times New Roman" w:hAnsi="Times New Roman" w:cs="Times New Roman"/>
          <w:lang w:val="en-US"/>
        </w:rPr>
        <w:t>oz E.</w:t>
      </w:r>
      <w:r w:rsidRPr="00EC398A">
        <w:rPr>
          <w:rFonts w:ascii="Times New Roman" w:hAnsi="Times New Roman" w:cs="Times New Roman"/>
          <w:lang w:val="en-US"/>
        </w:rPr>
        <w:t xml:space="preserve"> Anandamide </w:t>
      </w:r>
      <w:r w:rsidR="000515D4">
        <w:rPr>
          <w:rFonts w:ascii="Times New Roman" w:hAnsi="Times New Roman" w:cs="Times New Roman"/>
          <w:lang w:val="en-US"/>
        </w:rPr>
        <w:t>i</w:t>
      </w:r>
      <w:r w:rsidRPr="00EC398A">
        <w:rPr>
          <w:rFonts w:ascii="Times New Roman" w:hAnsi="Times New Roman" w:cs="Times New Roman"/>
          <w:lang w:val="en-US"/>
        </w:rPr>
        <w:t xml:space="preserve">nhibits </w:t>
      </w:r>
      <w:r w:rsidR="000515D4">
        <w:rPr>
          <w:rFonts w:ascii="Times New Roman" w:hAnsi="Times New Roman" w:cs="Times New Roman"/>
          <w:lang w:val="en-US"/>
        </w:rPr>
        <w:t>n</w:t>
      </w:r>
      <w:r w:rsidRPr="00EC398A">
        <w:rPr>
          <w:rFonts w:ascii="Times New Roman" w:hAnsi="Times New Roman" w:cs="Times New Roman"/>
          <w:lang w:val="en-US"/>
        </w:rPr>
        <w:t xml:space="preserve">uclear </w:t>
      </w:r>
      <w:r w:rsidR="000515D4">
        <w:rPr>
          <w:rFonts w:ascii="Times New Roman" w:hAnsi="Times New Roman" w:cs="Times New Roman"/>
          <w:lang w:val="en-US"/>
        </w:rPr>
        <w:t>f</w:t>
      </w:r>
      <w:r w:rsidRPr="00EC398A">
        <w:rPr>
          <w:rFonts w:ascii="Times New Roman" w:hAnsi="Times New Roman" w:cs="Times New Roman"/>
          <w:lang w:val="en-US"/>
        </w:rPr>
        <w:t>actor-</w:t>
      </w:r>
      <w:proofErr w:type="spellStart"/>
      <w:r w:rsidR="000515D4" w:rsidRPr="000515D4">
        <w:rPr>
          <w:rFonts w:ascii="Times New Roman" w:hAnsi="Times New Roman" w:cs="Times New Roman"/>
          <w:lang w:val="en-US"/>
        </w:rPr>
        <w:t>k</w:t>
      </w:r>
      <w:r w:rsidR="000515D4">
        <w:rPr>
          <w:rFonts w:ascii="Times New Roman" w:hAnsi="Times New Roman" w:cs="Times New Roman"/>
          <w:lang w:val="en-US"/>
        </w:rPr>
        <w:t>appa</w:t>
      </w:r>
      <w:r w:rsidRPr="00EC398A">
        <w:rPr>
          <w:rFonts w:ascii="Times New Roman" w:hAnsi="Times New Roman" w:cs="Times New Roman"/>
          <w:lang w:val="en-US"/>
        </w:rPr>
        <w:t>B</w:t>
      </w:r>
      <w:proofErr w:type="spellEnd"/>
      <w:r w:rsidRPr="00EC398A">
        <w:rPr>
          <w:rFonts w:ascii="Times New Roman" w:hAnsi="Times New Roman" w:cs="Times New Roman"/>
          <w:lang w:val="en-US"/>
        </w:rPr>
        <w:t xml:space="preserve"> </w:t>
      </w:r>
      <w:r w:rsidR="000515D4">
        <w:rPr>
          <w:rFonts w:ascii="Times New Roman" w:hAnsi="Times New Roman" w:cs="Times New Roman"/>
          <w:lang w:val="en-US"/>
        </w:rPr>
        <w:t>a</w:t>
      </w:r>
      <w:r w:rsidRPr="00EC398A">
        <w:rPr>
          <w:rFonts w:ascii="Times New Roman" w:hAnsi="Times New Roman" w:cs="Times New Roman"/>
          <w:lang w:val="en-US"/>
        </w:rPr>
        <w:t xml:space="preserve">ctivation through a </w:t>
      </w:r>
      <w:r w:rsidR="000515D4">
        <w:rPr>
          <w:rFonts w:ascii="Times New Roman" w:hAnsi="Times New Roman" w:cs="Times New Roman"/>
          <w:lang w:val="en-US"/>
        </w:rPr>
        <w:t>c</w:t>
      </w:r>
      <w:r w:rsidRPr="00EC398A">
        <w:rPr>
          <w:rFonts w:ascii="Times New Roman" w:hAnsi="Times New Roman" w:cs="Times New Roman"/>
          <w:lang w:val="en-US"/>
        </w:rPr>
        <w:t xml:space="preserve">annabinoid </w:t>
      </w:r>
      <w:r w:rsidR="000515D4">
        <w:rPr>
          <w:rFonts w:ascii="Times New Roman" w:hAnsi="Times New Roman" w:cs="Times New Roman"/>
          <w:lang w:val="en-US"/>
        </w:rPr>
        <w:t>r</w:t>
      </w:r>
      <w:r w:rsidRPr="00EC398A">
        <w:rPr>
          <w:rFonts w:ascii="Times New Roman" w:hAnsi="Times New Roman" w:cs="Times New Roman"/>
          <w:lang w:val="en-US"/>
        </w:rPr>
        <w:t>eceptor-</w:t>
      </w:r>
      <w:r w:rsidR="000515D4">
        <w:rPr>
          <w:rFonts w:ascii="Times New Roman" w:hAnsi="Times New Roman" w:cs="Times New Roman"/>
          <w:lang w:val="en-US"/>
        </w:rPr>
        <w:t>i</w:t>
      </w:r>
      <w:r w:rsidRPr="00EC398A">
        <w:rPr>
          <w:rFonts w:ascii="Times New Roman" w:hAnsi="Times New Roman" w:cs="Times New Roman"/>
          <w:lang w:val="en-US"/>
        </w:rPr>
        <w:t xml:space="preserve">ndependent </w:t>
      </w:r>
      <w:r w:rsidR="000515D4">
        <w:rPr>
          <w:rFonts w:ascii="Times New Roman" w:hAnsi="Times New Roman" w:cs="Times New Roman"/>
          <w:lang w:val="en-US"/>
        </w:rPr>
        <w:t>p</w:t>
      </w:r>
      <w:r w:rsidRPr="00EC398A">
        <w:rPr>
          <w:rFonts w:ascii="Times New Roman" w:hAnsi="Times New Roman" w:cs="Times New Roman"/>
          <w:lang w:val="en-US"/>
        </w:rPr>
        <w:t xml:space="preserve">athway. Mol </w:t>
      </w:r>
      <w:proofErr w:type="spellStart"/>
      <w:r w:rsidRPr="00EC398A">
        <w:rPr>
          <w:rFonts w:ascii="Times New Roman" w:hAnsi="Times New Roman" w:cs="Times New Roman"/>
          <w:lang w:val="en-US"/>
        </w:rPr>
        <w:t>Pharmacol</w:t>
      </w:r>
      <w:proofErr w:type="spellEnd"/>
      <w:r w:rsidR="00385FDC">
        <w:rPr>
          <w:rFonts w:ascii="Times New Roman" w:hAnsi="Times New Roman" w:cs="Times New Roman"/>
          <w:lang w:val="en-US"/>
        </w:rPr>
        <w:t>.</w:t>
      </w:r>
      <w:r w:rsidRPr="00EC398A">
        <w:rPr>
          <w:rFonts w:ascii="Times New Roman" w:hAnsi="Times New Roman" w:cs="Times New Roman"/>
          <w:lang w:val="en-US"/>
        </w:rPr>
        <w:t xml:space="preserve"> 2003</w:t>
      </w:r>
      <w:r w:rsidR="00385FDC">
        <w:rPr>
          <w:rFonts w:ascii="Times New Roman" w:hAnsi="Times New Roman" w:cs="Times New Roman"/>
          <w:lang w:val="en-US"/>
        </w:rPr>
        <w:t>;</w:t>
      </w:r>
      <w:r w:rsidRPr="00EC398A">
        <w:rPr>
          <w:rFonts w:ascii="Times New Roman" w:hAnsi="Times New Roman" w:cs="Times New Roman"/>
          <w:lang w:val="en-US"/>
        </w:rPr>
        <w:t xml:space="preserve"> 63(2)</w:t>
      </w:r>
      <w:r w:rsidR="00385FDC">
        <w:rPr>
          <w:rFonts w:ascii="Times New Roman" w:hAnsi="Times New Roman" w:cs="Times New Roman"/>
          <w:lang w:val="en-US"/>
        </w:rPr>
        <w:t>:</w:t>
      </w:r>
      <w:r w:rsidRPr="00EC398A">
        <w:rPr>
          <w:rFonts w:ascii="Times New Roman" w:hAnsi="Times New Roman" w:cs="Times New Roman"/>
          <w:lang w:val="en-US"/>
        </w:rPr>
        <w:t xml:space="preserve"> 429-438.</w:t>
      </w:r>
    </w:p>
    <w:p w:rsidR="00EC398A" w:rsidRDefault="00862BD1" w:rsidP="005272A2">
      <w:pPr>
        <w:pStyle w:val="Paragrafoelenco"/>
        <w:numPr>
          <w:ilvl w:val="0"/>
          <w:numId w:val="2"/>
        </w:numPr>
        <w:jc w:val="both"/>
        <w:rPr>
          <w:rFonts w:ascii="Times New Roman" w:hAnsi="Times New Roman" w:cs="Times New Roman"/>
          <w:lang w:val="en-US"/>
        </w:rPr>
      </w:pPr>
      <w:r w:rsidRPr="00EC398A">
        <w:rPr>
          <w:rFonts w:ascii="Times New Roman" w:hAnsi="Times New Roman" w:cs="Times New Roman"/>
          <w:lang w:val="en-US"/>
        </w:rPr>
        <w:t>Xia</w:t>
      </w:r>
      <w:r w:rsidR="00213A76">
        <w:rPr>
          <w:rFonts w:ascii="Times New Roman" w:hAnsi="Times New Roman" w:cs="Times New Roman"/>
          <w:lang w:val="en-US"/>
        </w:rPr>
        <w:t xml:space="preserve"> S, Zhang X, Zheng S, </w:t>
      </w:r>
      <w:r w:rsidR="00213A76" w:rsidRPr="002B1C1A">
        <w:rPr>
          <w:rFonts w:ascii="Times New Roman" w:hAnsi="Times New Roman" w:cs="Times New Roman"/>
          <w:noProof/>
          <w:lang w:val="en-US"/>
        </w:rPr>
        <w:t>Khanabdali</w:t>
      </w:r>
      <w:r w:rsidR="00213A76">
        <w:rPr>
          <w:rFonts w:ascii="Times New Roman" w:hAnsi="Times New Roman" w:cs="Times New Roman"/>
          <w:lang w:val="en-US"/>
        </w:rPr>
        <w:t xml:space="preserve"> R, </w:t>
      </w:r>
      <w:proofErr w:type="spellStart"/>
      <w:r w:rsidR="00213A76">
        <w:rPr>
          <w:rFonts w:ascii="Times New Roman" w:hAnsi="Times New Roman" w:cs="Times New Roman"/>
          <w:lang w:val="en-US"/>
        </w:rPr>
        <w:t>Kalionis</w:t>
      </w:r>
      <w:proofErr w:type="spellEnd"/>
      <w:r w:rsidR="0066251D">
        <w:rPr>
          <w:rFonts w:ascii="Times New Roman" w:hAnsi="Times New Roman" w:cs="Times New Roman"/>
          <w:lang w:val="en-US"/>
        </w:rPr>
        <w:t xml:space="preserve"> B, Wu J,</w:t>
      </w:r>
      <w:r w:rsidRPr="00EC398A">
        <w:rPr>
          <w:rFonts w:ascii="Times New Roman" w:hAnsi="Times New Roman" w:cs="Times New Roman"/>
          <w:lang w:val="en-US"/>
        </w:rPr>
        <w:t xml:space="preserve"> et al. An Update on </w:t>
      </w:r>
      <w:proofErr w:type="spellStart"/>
      <w:r w:rsidRPr="00EC398A">
        <w:rPr>
          <w:rFonts w:ascii="Times New Roman" w:hAnsi="Times New Roman" w:cs="Times New Roman"/>
          <w:lang w:val="en-US"/>
        </w:rPr>
        <w:t>Inflamm</w:t>
      </w:r>
      <w:proofErr w:type="spellEnd"/>
      <w:r w:rsidRPr="00EC398A">
        <w:rPr>
          <w:rFonts w:ascii="Times New Roman" w:hAnsi="Times New Roman" w:cs="Times New Roman"/>
          <w:lang w:val="en-US"/>
        </w:rPr>
        <w:t>-aging: Mechanism, Prevention, and Treatment. J Immunol Res</w:t>
      </w:r>
      <w:r w:rsidR="0066251D">
        <w:rPr>
          <w:rFonts w:ascii="Times New Roman" w:hAnsi="Times New Roman" w:cs="Times New Roman"/>
          <w:lang w:val="en-US"/>
        </w:rPr>
        <w:t>.</w:t>
      </w:r>
      <w:r w:rsidRPr="00EC398A">
        <w:rPr>
          <w:rFonts w:ascii="Times New Roman" w:hAnsi="Times New Roman" w:cs="Times New Roman"/>
          <w:lang w:val="en-US"/>
        </w:rPr>
        <w:t xml:space="preserve"> 2016.</w:t>
      </w:r>
    </w:p>
    <w:p w:rsidR="00EC398A" w:rsidRDefault="00862BD1" w:rsidP="005272A2">
      <w:pPr>
        <w:pStyle w:val="Paragrafoelenco"/>
        <w:numPr>
          <w:ilvl w:val="0"/>
          <w:numId w:val="2"/>
        </w:numPr>
        <w:jc w:val="both"/>
        <w:rPr>
          <w:rFonts w:ascii="Times New Roman" w:hAnsi="Times New Roman" w:cs="Times New Roman"/>
          <w:lang w:val="en-US"/>
        </w:rPr>
      </w:pPr>
      <w:proofErr w:type="spellStart"/>
      <w:r w:rsidRPr="00EC398A">
        <w:rPr>
          <w:rFonts w:ascii="Times New Roman" w:hAnsi="Times New Roman" w:cs="Times New Roman"/>
          <w:lang w:val="en-US"/>
        </w:rPr>
        <w:t>Oeckinghaus</w:t>
      </w:r>
      <w:proofErr w:type="spellEnd"/>
      <w:r w:rsidR="000771B2">
        <w:rPr>
          <w:rFonts w:ascii="Times New Roman" w:hAnsi="Times New Roman" w:cs="Times New Roman"/>
          <w:lang w:val="en-US"/>
        </w:rPr>
        <w:t xml:space="preserve"> A,</w:t>
      </w:r>
      <w:r w:rsidRPr="00EC398A">
        <w:rPr>
          <w:rFonts w:ascii="Times New Roman" w:hAnsi="Times New Roman" w:cs="Times New Roman"/>
          <w:lang w:val="en-US"/>
        </w:rPr>
        <w:t xml:space="preserve"> Ghosh</w:t>
      </w:r>
      <w:r w:rsidR="000771B2">
        <w:rPr>
          <w:rFonts w:ascii="Times New Roman" w:hAnsi="Times New Roman" w:cs="Times New Roman"/>
          <w:lang w:val="en-US"/>
        </w:rPr>
        <w:t xml:space="preserve"> S</w:t>
      </w:r>
      <w:r w:rsidRPr="00EC398A">
        <w:rPr>
          <w:rFonts w:ascii="Times New Roman" w:hAnsi="Times New Roman" w:cs="Times New Roman"/>
          <w:lang w:val="en-US"/>
        </w:rPr>
        <w:t>. The NF-</w:t>
      </w:r>
      <w:proofErr w:type="spellStart"/>
      <w:r w:rsidR="00451685" w:rsidRPr="00451685">
        <w:rPr>
          <w:rFonts w:ascii="Times New Roman" w:hAnsi="Times New Roman" w:cs="Times New Roman"/>
          <w:lang w:val="en-US"/>
        </w:rPr>
        <w:t>kappa</w:t>
      </w:r>
      <w:r w:rsidRPr="00EC398A">
        <w:rPr>
          <w:rFonts w:ascii="Times New Roman" w:hAnsi="Times New Roman" w:cs="Times New Roman"/>
          <w:lang w:val="en-US"/>
        </w:rPr>
        <w:t>B</w:t>
      </w:r>
      <w:proofErr w:type="spellEnd"/>
      <w:r w:rsidRPr="00EC398A">
        <w:rPr>
          <w:rFonts w:ascii="Times New Roman" w:hAnsi="Times New Roman" w:cs="Times New Roman"/>
          <w:lang w:val="en-US"/>
        </w:rPr>
        <w:t xml:space="preserve"> </w:t>
      </w:r>
      <w:r w:rsidR="00451685">
        <w:rPr>
          <w:rFonts w:ascii="Times New Roman" w:hAnsi="Times New Roman" w:cs="Times New Roman"/>
          <w:lang w:val="en-US"/>
        </w:rPr>
        <w:t>f</w:t>
      </w:r>
      <w:r w:rsidRPr="00EC398A">
        <w:rPr>
          <w:rFonts w:ascii="Times New Roman" w:hAnsi="Times New Roman" w:cs="Times New Roman"/>
          <w:lang w:val="en-US"/>
        </w:rPr>
        <w:t xml:space="preserve">amily of </w:t>
      </w:r>
      <w:r w:rsidR="00451685">
        <w:rPr>
          <w:rFonts w:ascii="Times New Roman" w:hAnsi="Times New Roman" w:cs="Times New Roman"/>
          <w:lang w:val="en-US"/>
        </w:rPr>
        <w:t>t</w:t>
      </w:r>
      <w:r w:rsidRPr="00EC398A">
        <w:rPr>
          <w:rFonts w:ascii="Times New Roman" w:hAnsi="Times New Roman" w:cs="Times New Roman"/>
          <w:lang w:val="en-US"/>
        </w:rPr>
        <w:t xml:space="preserve">ranscription </w:t>
      </w:r>
      <w:r w:rsidR="00451685">
        <w:rPr>
          <w:rFonts w:ascii="Times New Roman" w:hAnsi="Times New Roman" w:cs="Times New Roman"/>
          <w:lang w:val="en-US"/>
        </w:rPr>
        <w:t>f</w:t>
      </w:r>
      <w:r w:rsidRPr="00EC398A">
        <w:rPr>
          <w:rFonts w:ascii="Times New Roman" w:hAnsi="Times New Roman" w:cs="Times New Roman"/>
          <w:lang w:val="en-US"/>
        </w:rPr>
        <w:t xml:space="preserve">actors and </w:t>
      </w:r>
      <w:r w:rsidR="00451685">
        <w:rPr>
          <w:rFonts w:ascii="Times New Roman" w:hAnsi="Times New Roman" w:cs="Times New Roman"/>
          <w:lang w:val="en-US"/>
        </w:rPr>
        <w:t>i</w:t>
      </w:r>
      <w:r w:rsidRPr="00EC398A">
        <w:rPr>
          <w:rFonts w:ascii="Times New Roman" w:hAnsi="Times New Roman" w:cs="Times New Roman"/>
          <w:lang w:val="en-US"/>
        </w:rPr>
        <w:t xml:space="preserve">ts </w:t>
      </w:r>
      <w:r w:rsidR="00451685">
        <w:rPr>
          <w:rFonts w:ascii="Times New Roman" w:hAnsi="Times New Roman" w:cs="Times New Roman"/>
          <w:lang w:val="en-US"/>
        </w:rPr>
        <w:t>r</w:t>
      </w:r>
      <w:r w:rsidRPr="00EC398A">
        <w:rPr>
          <w:rFonts w:ascii="Times New Roman" w:hAnsi="Times New Roman" w:cs="Times New Roman"/>
          <w:lang w:val="en-US"/>
        </w:rPr>
        <w:t>egulation</w:t>
      </w:r>
      <w:r w:rsidR="00447F07">
        <w:rPr>
          <w:rFonts w:ascii="Times New Roman" w:hAnsi="Times New Roman" w:cs="Times New Roman"/>
          <w:lang w:val="en-US"/>
        </w:rPr>
        <w:t>.</w:t>
      </w:r>
      <w:r w:rsidRPr="00EC398A">
        <w:rPr>
          <w:rFonts w:ascii="Times New Roman" w:hAnsi="Times New Roman" w:cs="Times New Roman"/>
          <w:lang w:val="en-US"/>
        </w:rPr>
        <w:t xml:space="preserve"> Cold Spring </w:t>
      </w:r>
      <w:proofErr w:type="spellStart"/>
      <w:r w:rsidRPr="00EC398A">
        <w:rPr>
          <w:rFonts w:ascii="Times New Roman" w:hAnsi="Times New Roman" w:cs="Times New Roman"/>
          <w:lang w:val="en-US"/>
        </w:rPr>
        <w:t>Harb</w:t>
      </w:r>
      <w:proofErr w:type="spellEnd"/>
      <w:r w:rsidRPr="00EC398A">
        <w:rPr>
          <w:rFonts w:ascii="Times New Roman" w:hAnsi="Times New Roman" w:cs="Times New Roman"/>
          <w:lang w:val="en-US"/>
        </w:rPr>
        <w:t xml:space="preserve"> </w:t>
      </w:r>
      <w:proofErr w:type="spellStart"/>
      <w:r w:rsidRPr="00EC398A">
        <w:rPr>
          <w:rFonts w:ascii="Times New Roman" w:hAnsi="Times New Roman" w:cs="Times New Roman"/>
          <w:lang w:val="en-US"/>
        </w:rPr>
        <w:t>Perspect</w:t>
      </w:r>
      <w:proofErr w:type="spellEnd"/>
      <w:r w:rsidRPr="00EC398A">
        <w:rPr>
          <w:rFonts w:ascii="Times New Roman" w:hAnsi="Times New Roman" w:cs="Times New Roman"/>
          <w:lang w:val="en-US"/>
        </w:rPr>
        <w:t xml:space="preserve"> Biol. 2009</w:t>
      </w:r>
      <w:r w:rsidR="00447F07">
        <w:rPr>
          <w:rFonts w:ascii="Times New Roman" w:hAnsi="Times New Roman" w:cs="Times New Roman"/>
          <w:lang w:val="en-US"/>
        </w:rPr>
        <w:t>;</w:t>
      </w:r>
      <w:r w:rsidRPr="00EC398A">
        <w:rPr>
          <w:rFonts w:ascii="Times New Roman" w:hAnsi="Times New Roman" w:cs="Times New Roman"/>
          <w:lang w:val="en-US"/>
        </w:rPr>
        <w:t xml:space="preserve"> 1</w:t>
      </w:r>
      <w:r w:rsidR="00447F07">
        <w:rPr>
          <w:rFonts w:ascii="Times New Roman" w:hAnsi="Times New Roman" w:cs="Times New Roman"/>
          <w:lang w:val="en-US"/>
        </w:rPr>
        <w:t>(4)</w:t>
      </w:r>
      <w:r w:rsidRPr="00EC398A">
        <w:rPr>
          <w:rFonts w:ascii="Times New Roman" w:hAnsi="Times New Roman" w:cs="Times New Roman"/>
          <w:lang w:val="en-US"/>
        </w:rPr>
        <w:t>:</w:t>
      </w:r>
      <w:r w:rsidR="00447F07">
        <w:rPr>
          <w:rFonts w:ascii="Times New Roman" w:hAnsi="Times New Roman" w:cs="Times New Roman"/>
          <w:lang w:val="en-US"/>
        </w:rPr>
        <w:t xml:space="preserve"> </w:t>
      </w:r>
      <w:r w:rsidRPr="00EC398A">
        <w:rPr>
          <w:rFonts w:ascii="Times New Roman" w:hAnsi="Times New Roman" w:cs="Times New Roman"/>
          <w:lang w:val="en-US"/>
        </w:rPr>
        <w:t>a000034.</w:t>
      </w:r>
    </w:p>
    <w:p w:rsidR="00EC398A" w:rsidRDefault="00862BD1" w:rsidP="005272A2">
      <w:pPr>
        <w:pStyle w:val="Paragrafoelenco"/>
        <w:numPr>
          <w:ilvl w:val="0"/>
          <w:numId w:val="2"/>
        </w:numPr>
        <w:jc w:val="both"/>
        <w:rPr>
          <w:rFonts w:ascii="Times New Roman" w:hAnsi="Times New Roman" w:cs="Times New Roman"/>
          <w:lang w:val="en-US"/>
        </w:rPr>
      </w:pPr>
      <w:r w:rsidRPr="00101A92">
        <w:rPr>
          <w:rFonts w:ascii="Times New Roman" w:hAnsi="Times New Roman" w:cs="Times New Roman"/>
        </w:rPr>
        <w:t>Olivieri</w:t>
      </w:r>
      <w:r w:rsidR="00101A92" w:rsidRPr="00101A92">
        <w:rPr>
          <w:rFonts w:ascii="Times New Roman" w:hAnsi="Times New Roman" w:cs="Times New Roman"/>
        </w:rPr>
        <w:t xml:space="preserve"> F, </w:t>
      </w:r>
      <w:proofErr w:type="spellStart"/>
      <w:r w:rsidR="00101A92" w:rsidRPr="00101A92">
        <w:rPr>
          <w:rFonts w:ascii="Times New Roman" w:hAnsi="Times New Roman" w:cs="Times New Roman"/>
        </w:rPr>
        <w:t>Rippo</w:t>
      </w:r>
      <w:proofErr w:type="spellEnd"/>
      <w:r w:rsidR="00101A92" w:rsidRPr="00101A92">
        <w:rPr>
          <w:rFonts w:ascii="Times New Roman" w:hAnsi="Times New Roman" w:cs="Times New Roman"/>
        </w:rPr>
        <w:t xml:space="preserve"> MR, </w:t>
      </w:r>
      <w:proofErr w:type="spellStart"/>
      <w:r w:rsidR="00101A92" w:rsidRPr="00101A92">
        <w:rPr>
          <w:rFonts w:ascii="Times New Roman" w:hAnsi="Times New Roman" w:cs="Times New Roman"/>
        </w:rPr>
        <w:t>Monsurrò</w:t>
      </w:r>
      <w:proofErr w:type="spellEnd"/>
      <w:r w:rsidR="00101A92" w:rsidRPr="00101A92">
        <w:rPr>
          <w:rFonts w:ascii="Times New Roman" w:hAnsi="Times New Roman" w:cs="Times New Roman"/>
        </w:rPr>
        <w:t xml:space="preserve"> V, </w:t>
      </w:r>
      <w:proofErr w:type="spellStart"/>
      <w:r w:rsidR="00101A92" w:rsidRPr="00101A92">
        <w:rPr>
          <w:rFonts w:ascii="Times New Roman" w:hAnsi="Times New Roman" w:cs="Times New Roman"/>
        </w:rPr>
        <w:t>Salvioli</w:t>
      </w:r>
      <w:proofErr w:type="spellEnd"/>
      <w:r w:rsidR="00101A92" w:rsidRPr="00101A92">
        <w:rPr>
          <w:rFonts w:ascii="Times New Roman" w:hAnsi="Times New Roman" w:cs="Times New Roman"/>
        </w:rPr>
        <w:t xml:space="preserve"> S, Capri M, Pro</w:t>
      </w:r>
      <w:r w:rsidR="00101A92">
        <w:rPr>
          <w:rFonts w:ascii="Times New Roman" w:hAnsi="Times New Roman" w:cs="Times New Roman"/>
        </w:rPr>
        <w:t>copio AD,</w:t>
      </w:r>
      <w:r w:rsidRPr="00101A92">
        <w:rPr>
          <w:rFonts w:ascii="Times New Roman" w:hAnsi="Times New Roman" w:cs="Times New Roman"/>
        </w:rPr>
        <w:t xml:space="preserve"> et al. </w:t>
      </w:r>
      <w:r w:rsidRPr="00EC398A">
        <w:rPr>
          <w:rFonts w:ascii="Times New Roman" w:hAnsi="Times New Roman" w:cs="Times New Roman"/>
          <w:lang w:val="en-US"/>
        </w:rPr>
        <w:t xml:space="preserve">MicroRNAs linking </w:t>
      </w:r>
      <w:proofErr w:type="spellStart"/>
      <w:r w:rsidRPr="00EC398A">
        <w:rPr>
          <w:rFonts w:ascii="Times New Roman" w:hAnsi="Times New Roman" w:cs="Times New Roman"/>
          <w:lang w:val="en-US"/>
        </w:rPr>
        <w:t>inflamm</w:t>
      </w:r>
      <w:proofErr w:type="spellEnd"/>
      <w:r w:rsidRPr="00EC398A">
        <w:rPr>
          <w:rFonts w:ascii="Times New Roman" w:hAnsi="Times New Roman" w:cs="Times New Roman"/>
          <w:lang w:val="en-US"/>
        </w:rPr>
        <w:t>-aging, cellular senescence and cancer</w:t>
      </w:r>
      <w:r w:rsidR="00101A92">
        <w:rPr>
          <w:rFonts w:ascii="Times New Roman" w:hAnsi="Times New Roman" w:cs="Times New Roman"/>
          <w:lang w:val="en-US"/>
        </w:rPr>
        <w:t>.</w:t>
      </w:r>
      <w:r w:rsidRPr="00EC398A">
        <w:rPr>
          <w:rFonts w:ascii="Times New Roman" w:hAnsi="Times New Roman" w:cs="Times New Roman"/>
          <w:lang w:val="en-US"/>
        </w:rPr>
        <w:t xml:space="preserve"> Ageing Res Rev. 2013</w:t>
      </w:r>
      <w:r w:rsidR="00101A92">
        <w:rPr>
          <w:rFonts w:ascii="Times New Roman" w:hAnsi="Times New Roman" w:cs="Times New Roman"/>
          <w:lang w:val="en-US"/>
        </w:rPr>
        <w:t>;</w:t>
      </w:r>
      <w:r w:rsidRPr="00EC398A">
        <w:rPr>
          <w:rFonts w:ascii="Times New Roman" w:hAnsi="Times New Roman" w:cs="Times New Roman"/>
          <w:lang w:val="en-US"/>
        </w:rPr>
        <w:t xml:space="preserve"> 12</w:t>
      </w:r>
      <w:r w:rsidR="00101A92">
        <w:rPr>
          <w:rFonts w:ascii="Times New Roman" w:hAnsi="Times New Roman" w:cs="Times New Roman"/>
          <w:lang w:val="en-US"/>
        </w:rPr>
        <w:t>(4):</w:t>
      </w:r>
      <w:r w:rsidRPr="00EC398A">
        <w:rPr>
          <w:rFonts w:ascii="Times New Roman" w:hAnsi="Times New Roman" w:cs="Times New Roman"/>
          <w:lang w:val="en-US"/>
        </w:rPr>
        <w:t xml:space="preserve"> 1056-1068.</w:t>
      </w:r>
    </w:p>
    <w:p w:rsidR="00862BD1" w:rsidRPr="00EC398A" w:rsidRDefault="00862BD1" w:rsidP="005272A2">
      <w:pPr>
        <w:pStyle w:val="Paragrafoelenco"/>
        <w:numPr>
          <w:ilvl w:val="0"/>
          <w:numId w:val="2"/>
        </w:numPr>
        <w:jc w:val="both"/>
        <w:rPr>
          <w:rFonts w:ascii="Times New Roman" w:hAnsi="Times New Roman" w:cs="Times New Roman"/>
          <w:lang w:val="en-US"/>
        </w:rPr>
      </w:pPr>
      <w:r w:rsidRPr="00000C6C">
        <w:rPr>
          <w:rFonts w:ascii="Times New Roman" w:hAnsi="Times New Roman" w:cs="Times New Roman"/>
          <w:lang w:val="en-US"/>
        </w:rPr>
        <w:t>Saba R</w:t>
      </w:r>
      <w:r w:rsidR="00000C6C" w:rsidRPr="00000C6C">
        <w:rPr>
          <w:rFonts w:ascii="Times New Roman" w:hAnsi="Times New Roman" w:cs="Times New Roman"/>
          <w:lang w:val="en-US"/>
        </w:rPr>
        <w:t>, Sorensen DL, Booth SA.</w:t>
      </w:r>
      <w:r w:rsidRPr="00000C6C">
        <w:rPr>
          <w:rFonts w:ascii="Times New Roman" w:hAnsi="Times New Roman" w:cs="Times New Roman"/>
          <w:lang w:val="en-US"/>
        </w:rPr>
        <w:t xml:space="preserve"> MicroRNA-146a: A Dominant, Negative Regulator of the Innate Immune Response</w:t>
      </w:r>
      <w:r w:rsidR="00000C6C">
        <w:rPr>
          <w:rFonts w:ascii="Times New Roman" w:hAnsi="Times New Roman" w:cs="Times New Roman"/>
          <w:lang w:val="en-US"/>
        </w:rPr>
        <w:t>.</w:t>
      </w:r>
      <w:r w:rsidRPr="00000C6C">
        <w:rPr>
          <w:rFonts w:ascii="Times New Roman" w:hAnsi="Times New Roman" w:cs="Times New Roman"/>
          <w:lang w:val="en-US"/>
        </w:rPr>
        <w:t xml:space="preserve"> Front Immunol. 2014; 5</w:t>
      </w:r>
      <w:r w:rsidR="00000C6C">
        <w:rPr>
          <w:rFonts w:ascii="Times New Roman" w:hAnsi="Times New Roman" w:cs="Times New Roman"/>
          <w:lang w:val="en-US"/>
        </w:rPr>
        <w:t>:</w:t>
      </w:r>
      <w:r w:rsidRPr="00000C6C">
        <w:rPr>
          <w:rFonts w:ascii="Times New Roman" w:hAnsi="Times New Roman" w:cs="Times New Roman"/>
          <w:lang w:val="en-US"/>
        </w:rPr>
        <w:t xml:space="preserve"> 578.</w:t>
      </w:r>
    </w:p>
    <w:p w:rsidR="00EC398A" w:rsidRDefault="00EC398A" w:rsidP="00B264C0">
      <w:pPr>
        <w:jc w:val="both"/>
        <w:rPr>
          <w:rFonts w:ascii="Times New Roman" w:hAnsi="Times New Roman" w:cs="Times New Roman"/>
          <w:sz w:val="20"/>
          <w:szCs w:val="20"/>
          <w:lang w:val="en-US"/>
        </w:rPr>
      </w:pPr>
    </w:p>
    <w:p w:rsidR="00B264C0" w:rsidRPr="00B264C0" w:rsidRDefault="00B264C0" w:rsidP="00B264C0">
      <w:pPr>
        <w:jc w:val="both"/>
        <w:rPr>
          <w:rFonts w:ascii="Times New Roman" w:hAnsi="Times New Roman" w:cs="Times New Roman"/>
          <w:sz w:val="20"/>
          <w:szCs w:val="20"/>
          <w:lang w:val="en-US"/>
        </w:rPr>
      </w:pPr>
      <w:r w:rsidRPr="00B264C0">
        <w:rPr>
          <w:rFonts w:ascii="Times New Roman" w:hAnsi="Times New Roman" w:cs="Times New Roman"/>
          <w:sz w:val="20"/>
          <w:szCs w:val="20"/>
          <w:lang w:val="en-US"/>
        </w:rPr>
        <w:t xml:space="preserve">Author Contributions: Marisa Meloni and Alessandra Semenzato conceived and designed the experiments; Elisa Caviola performed the experiments; Marisa Meloni and Elisa Caviola analyzed the data; Gianni Baratto provided the materials (endocannabinoids and cosmetic products); Giulia Galizia wrote the paper. </w:t>
      </w:r>
    </w:p>
    <w:p w:rsidR="00B264C0" w:rsidRPr="00B264C0" w:rsidRDefault="00B264C0" w:rsidP="00B264C0">
      <w:pPr>
        <w:jc w:val="both"/>
        <w:rPr>
          <w:rFonts w:ascii="Times New Roman" w:hAnsi="Times New Roman" w:cs="Times New Roman"/>
          <w:sz w:val="20"/>
          <w:szCs w:val="20"/>
          <w:lang w:val="en-US"/>
        </w:rPr>
      </w:pPr>
      <w:r w:rsidRPr="00B264C0">
        <w:rPr>
          <w:rFonts w:ascii="Times New Roman" w:hAnsi="Times New Roman" w:cs="Times New Roman"/>
          <w:sz w:val="20"/>
          <w:szCs w:val="20"/>
          <w:lang w:val="en-US"/>
        </w:rPr>
        <w:t xml:space="preserve">Conflicts of Interest: the following study was sponsored by </w:t>
      </w:r>
      <w:r w:rsidRPr="002B1C1A">
        <w:rPr>
          <w:rFonts w:ascii="Times New Roman" w:hAnsi="Times New Roman" w:cs="Times New Roman"/>
          <w:noProof/>
          <w:sz w:val="20"/>
          <w:szCs w:val="20"/>
          <w:lang w:val="en-US"/>
        </w:rPr>
        <w:t>Unifarco</w:t>
      </w:r>
      <w:r w:rsidRPr="00B264C0">
        <w:rPr>
          <w:rFonts w:ascii="Times New Roman" w:hAnsi="Times New Roman" w:cs="Times New Roman"/>
          <w:sz w:val="20"/>
          <w:szCs w:val="20"/>
          <w:lang w:val="en-US"/>
        </w:rPr>
        <w:t xml:space="preserve"> S.p.A. The founding sponsors had no role in the design of the study; in the collection, analyses, or interpretation of data; in the writing of the manuscript, and in the decision to publish the results.</w:t>
      </w:r>
    </w:p>
    <w:p w:rsidR="00B264C0" w:rsidRDefault="00B264C0" w:rsidP="005272A2">
      <w:pPr>
        <w:jc w:val="both"/>
        <w:rPr>
          <w:rFonts w:ascii="Times New Roman" w:hAnsi="Times New Roman" w:cs="Times New Roman"/>
          <w:lang w:val="en-US"/>
        </w:rPr>
      </w:pPr>
    </w:p>
    <w:p w:rsidR="006134BC" w:rsidRDefault="0088339A" w:rsidP="00B51087">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4219372" cy="280112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954" t="14356" r="14795" b="3959"/>
                    <a:stretch/>
                  </pic:blipFill>
                  <pic:spPr bwMode="auto">
                    <a:xfrm>
                      <a:off x="0" y="0"/>
                      <a:ext cx="4220715" cy="2802018"/>
                    </a:xfrm>
                    <a:prstGeom prst="rect">
                      <a:avLst/>
                    </a:prstGeom>
                    <a:noFill/>
                    <a:ln>
                      <a:noFill/>
                    </a:ln>
                    <a:extLst>
                      <a:ext uri="{53640926-AAD7-44D8-BBD7-CCE9431645EC}">
                        <a14:shadowObscured xmlns:a14="http://schemas.microsoft.com/office/drawing/2010/main"/>
                      </a:ext>
                    </a:extLst>
                  </pic:spPr>
                </pic:pic>
              </a:graphicData>
            </a:graphic>
          </wp:inline>
        </w:drawing>
      </w:r>
    </w:p>
    <w:p w:rsidR="00F952DD" w:rsidRDefault="00F952DD" w:rsidP="00B51087">
      <w:pPr>
        <w:jc w:val="center"/>
        <w:rPr>
          <w:rFonts w:ascii="Times New Roman" w:hAnsi="Times New Roman" w:cs="Times New Roman"/>
          <w:lang w:val="en-US"/>
        </w:rPr>
      </w:pPr>
      <w:r w:rsidRPr="00F952DD">
        <w:rPr>
          <w:rFonts w:ascii="Times New Roman" w:hAnsi="Times New Roman" w:cs="Times New Roman"/>
          <w:lang w:val="en-US"/>
        </w:rPr>
        <w:t>Figure 1: Schematic representation of the NF-kB pathway.</w:t>
      </w:r>
    </w:p>
    <w:p w:rsidR="00B51087" w:rsidRDefault="00B51087" w:rsidP="00B51087">
      <w:pPr>
        <w:jc w:val="center"/>
        <w:rPr>
          <w:rFonts w:ascii="Times New Roman" w:hAnsi="Times New Roman" w:cs="Times New Roman"/>
          <w:lang w:val="en-US"/>
        </w:rPr>
      </w:pPr>
    </w:p>
    <w:p w:rsidR="00B51087" w:rsidRDefault="00B51087" w:rsidP="00B51087">
      <w:pPr>
        <w:jc w:val="center"/>
        <w:rPr>
          <w:rFonts w:ascii="Times New Roman" w:hAnsi="Times New Roman" w:cs="Times New Roman"/>
          <w:lang w:val="en-US"/>
        </w:rPr>
      </w:pPr>
    </w:p>
    <w:p w:rsidR="006134BC" w:rsidRDefault="006134BC" w:rsidP="005272A2">
      <w:pPr>
        <w:jc w:val="both"/>
        <w:rPr>
          <w:rFonts w:ascii="Times New Roman" w:hAnsi="Times New Roman" w:cs="Times New Roman"/>
          <w:lang w:val="en-US"/>
        </w:rPr>
      </w:pPr>
    </w:p>
    <w:p w:rsidR="006134BC" w:rsidRPr="00B264C0" w:rsidRDefault="00B51087" w:rsidP="005272A2">
      <w:pPr>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extent cx="6097270" cy="342963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7270" cy="3429635"/>
                    </a:xfrm>
                    <a:prstGeom prst="rect">
                      <a:avLst/>
                    </a:prstGeom>
                    <a:noFill/>
                    <a:ln>
                      <a:noFill/>
                    </a:ln>
                  </pic:spPr>
                </pic:pic>
              </a:graphicData>
            </a:graphic>
          </wp:inline>
        </w:drawing>
      </w:r>
    </w:p>
    <w:p w:rsidR="006134BC" w:rsidRDefault="006134BC" w:rsidP="00B51087">
      <w:pPr>
        <w:spacing w:line="240" w:lineRule="auto"/>
        <w:jc w:val="center"/>
        <w:rPr>
          <w:rFonts w:ascii="Times New Roman" w:hAnsi="Times New Roman" w:cs="Times New Roman"/>
          <w:lang w:val="en-US"/>
        </w:rPr>
      </w:pPr>
      <w:r w:rsidRPr="006134BC">
        <w:rPr>
          <w:rFonts w:ascii="Times New Roman" w:hAnsi="Times New Roman" w:cs="Times New Roman"/>
          <w:lang w:val="en-US"/>
        </w:rPr>
        <w:t>Figure 2: Schematic representation of the miRNA pathway. The blue arrows indicate an upregulation, while the red arrows indicate a downregulation.</w:t>
      </w:r>
    </w:p>
    <w:p w:rsidR="006134BC" w:rsidRDefault="001B31E4" w:rsidP="00764B48">
      <w:pPr>
        <w:spacing w:line="24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D054B0A">
            <wp:extent cx="3697200" cy="2516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7200" cy="2516400"/>
                    </a:xfrm>
                    <a:prstGeom prst="rect">
                      <a:avLst/>
                    </a:prstGeom>
                    <a:noFill/>
                  </pic:spPr>
                </pic:pic>
              </a:graphicData>
            </a:graphic>
          </wp:inline>
        </w:drawing>
      </w:r>
    </w:p>
    <w:p w:rsidR="006134BC" w:rsidRPr="006134BC" w:rsidRDefault="006134BC" w:rsidP="00102934">
      <w:pPr>
        <w:spacing w:line="240" w:lineRule="auto"/>
        <w:jc w:val="center"/>
        <w:rPr>
          <w:rFonts w:ascii="Times New Roman" w:hAnsi="Times New Roman" w:cs="Times New Roman"/>
          <w:lang w:val="en-US"/>
        </w:rPr>
      </w:pPr>
      <w:r w:rsidRPr="006134BC">
        <w:rPr>
          <w:rFonts w:ascii="Times New Roman" w:hAnsi="Times New Roman" w:cs="Times New Roman"/>
          <w:lang w:val="en-US"/>
        </w:rPr>
        <w:t>Figure 3: miRNA gene modulation after 6 hours treatment post-irradiation.</w:t>
      </w:r>
    </w:p>
    <w:p w:rsidR="006134BC" w:rsidRPr="006134BC" w:rsidRDefault="006134BC" w:rsidP="00102934">
      <w:pPr>
        <w:spacing w:line="240" w:lineRule="auto"/>
        <w:jc w:val="center"/>
        <w:rPr>
          <w:rFonts w:ascii="Times New Roman" w:hAnsi="Times New Roman" w:cs="Times New Roman"/>
          <w:lang w:val="en-US"/>
        </w:rPr>
      </w:pPr>
      <w:r w:rsidRPr="006134BC">
        <w:rPr>
          <w:rFonts w:ascii="Times New Roman" w:hAnsi="Times New Roman" w:cs="Times New Roman"/>
          <w:lang w:val="en-US"/>
        </w:rPr>
        <w:t>Legend: RQ=1 Negative control, RQ ≤ 0,5 significant downregulation, RQ ≥ 2 significant upregulation.</w:t>
      </w:r>
    </w:p>
    <w:p w:rsidR="006134BC" w:rsidRDefault="001B31E4" w:rsidP="00F6217D">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0168B5ED">
            <wp:extent cx="4263668" cy="2516400"/>
            <wp:effectExtent l="0" t="0" r="381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3668" cy="2516400"/>
                    </a:xfrm>
                    <a:prstGeom prst="rect">
                      <a:avLst/>
                    </a:prstGeom>
                    <a:noFill/>
                  </pic:spPr>
                </pic:pic>
              </a:graphicData>
            </a:graphic>
          </wp:inline>
        </w:drawing>
      </w:r>
    </w:p>
    <w:p w:rsidR="006134BC" w:rsidRPr="006134BC" w:rsidRDefault="006134BC" w:rsidP="00F6217D">
      <w:pPr>
        <w:jc w:val="center"/>
        <w:rPr>
          <w:rFonts w:ascii="Times New Roman" w:hAnsi="Times New Roman" w:cs="Times New Roman"/>
          <w:lang w:val="en-US"/>
        </w:rPr>
      </w:pPr>
      <w:r w:rsidRPr="006134BC">
        <w:rPr>
          <w:rFonts w:ascii="Times New Roman" w:hAnsi="Times New Roman" w:cs="Times New Roman"/>
          <w:lang w:val="en-US"/>
        </w:rPr>
        <w:t>Figure 4: mRNA gene modulation after 6 hours treatment post-irradiation.</w:t>
      </w:r>
    </w:p>
    <w:p w:rsidR="006134BC" w:rsidRPr="0014792C" w:rsidRDefault="006134BC" w:rsidP="00F6217D">
      <w:pPr>
        <w:jc w:val="center"/>
        <w:rPr>
          <w:rFonts w:ascii="Times New Roman" w:hAnsi="Times New Roman" w:cs="Times New Roman"/>
          <w:lang w:val="en-US"/>
        </w:rPr>
      </w:pPr>
      <w:r w:rsidRPr="006134BC">
        <w:rPr>
          <w:rFonts w:ascii="Times New Roman" w:hAnsi="Times New Roman" w:cs="Times New Roman"/>
          <w:lang w:val="en-US"/>
        </w:rPr>
        <w:t>Legend: RQ=1 Negative control, RQ ≤ 0,5 significant downregulation, RQ ≥ 2 significant upregulation.</w:t>
      </w:r>
    </w:p>
    <w:p w:rsidR="00C06021" w:rsidRDefault="00B51087" w:rsidP="005272A2">
      <w:pPr>
        <w:jc w:val="both"/>
        <w:rPr>
          <w:lang w:val="en-US"/>
        </w:rPr>
      </w:pPr>
      <w:r>
        <w:rPr>
          <w:noProof/>
          <w:lang w:val="en-US"/>
        </w:rPr>
        <w:drawing>
          <wp:inline distT="0" distB="0" distL="0" distR="0">
            <wp:extent cx="6097270" cy="342963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7270" cy="3429635"/>
                    </a:xfrm>
                    <a:prstGeom prst="rect">
                      <a:avLst/>
                    </a:prstGeom>
                    <a:noFill/>
                    <a:ln>
                      <a:noFill/>
                    </a:ln>
                  </pic:spPr>
                </pic:pic>
              </a:graphicData>
            </a:graphic>
          </wp:inline>
        </w:drawing>
      </w:r>
    </w:p>
    <w:p w:rsidR="006134BC" w:rsidRDefault="006134BC" w:rsidP="00B51087">
      <w:pPr>
        <w:spacing w:line="240" w:lineRule="auto"/>
        <w:jc w:val="center"/>
        <w:rPr>
          <w:rFonts w:ascii="Times New Roman" w:hAnsi="Times New Roman" w:cs="Times New Roman"/>
          <w:lang w:val="en-US"/>
        </w:rPr>
      </w:pPr>
      <w:r w:rsidRPr="006134BC">
        <w:rPr>
          <w:rFonts w:ascii="Times New Roman" w:hAnsi="Times New Roman" w:cs="Times New Roman"/>
          <w:lang w:val="en-US"/>
        </w:rPr>
        <w:t>Figure 5: Schematic representation of the suggested mechanism of action of Anandamide 0,5% on miRNAs and NF-</w:t>
      </w:r>
      <w:r w:rsidRPr="006134BC">
        <w:rPr>
          <w:rFonts w:ascii="Times New Roman" w:hAnsi="Times New Roman" w:cs="Times New Roman"/>
        </w:rPr>
        <w:t>κ</w:t>
      </w:r>
      <w:r w:rsidRPr="006134BC">
        <w:rPr>
          <w:rFonts w:ascii="Times New Roman" w:hAnsi="Times New Roman" w:cs="Times New Roman"/>
          <w:lang w:val="en-US"/>
        </w:rPr>
        <w:t>B expression. The blue arrows indicate an upregulation, while the red arrows indicate a downregulation.</w:t>
      </w:r>
    </w:p>
    <w:p w:rsidR="006134BC" w:rsidRDefault="00B51087" w:rsidP="006134BC">
      <w:pPr>
        <w:spacing w:line="240" w:lineRule="auto"/>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extent cx="6097270" cy="342963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7270" cy="3429635"/>
                    </a:xfrm>
                    <a:prstGeom prst="rect">
                      <a:avLst/>
                    </a:prstGeom>
                    <a:noFill/>
                    <a:ln>
                      <a:noFill/>
                    </a:ln>
                  </pic:spPr>
                </pic:pic>
              </a:graphicData>
            </a:graphic>
          </wp:inline>
        </w:drawing>
      </w:r>
    </w:p>
    <w:p w:rsidR="006134BC" w:rsidRPr="0014792C" w:rsidRDefault="006134BC" w:rsidP="00B51087">
      <w:pPr>
        <w:jc w:val="center"/>
        <w:rPr>
          <w:rFonts w:ascii="Times New Roman" w:hAnsi="Times New Roman" w:cs="Times New Roman"/>
          <w:lang w:val="en-US"/>
        </w:rPr>
      </w:pPr>
      <w:r w:rsidRPr="006134BC">
        <w:rPr>
          <w:rFonts w:ascii="Times New Roman" w:hAnsi="Times New Roman" w:cs="Times New Roman"/>
          <w:lang w:val="en-US"/>
        </w:rPr>
        <w:t xml:space="preserve">Figure 6: Schematic representation of the suggested mechanism of action of </w:t>
      </w:r>
      <w:proofErr w:type="spellStart"/>
      <w:r w:rsidRPr="006134BC">
        <w:rPr>
          <w:rFonts w:ascii="Times New Roman" w:hAnsi="Times New Roman" w:cs="Times New Roman"/>
          <w:lang w:val="en-US"/>
        </w:rPr>
        <w:t>Isopalmide</w:t>
      </w:r>
      <w:proofErr w:type="spellEnd"/>
      <w:r w:rsidRPr="00D27DAC">
        <w:rPr>
          <w:rFonts w:ascii="Times New Roman" w:hAnsi="Times New Roman" w:cs="Times New Roman"/>
          <w:vertAlign w:val="superscript"/>
          <w:lang w:val="en-US"/>
        </w:rPr>
        <w:t>®</w:t>
      </w:r>
      <w:r w:rsidRPr="006134BC">
        <w:rPr>
          <w:rFonts w:ascii="Times New Roman" w:hAnsi="Times New Roman" w:cs="Times New Roman"/>
          <w:lang w:val="en-US"/>
        </w:rPr>
        <w:t xml:space="preserve"> 0,1% and 0,5% on miRNAs and NF-</w:t>
      </w:r>
      <w:r w:rsidRPr="006134BC">
        <w:rPr>
          <w:rFonts w:ascii="Times New Roman" w:hAnsi="Times New Roman" w:cs="Times New Roman"/>
        </w:rPr>
        <w:t>κ</w:t>
      </w:r>
      <w:r w:rsidRPr="006134BC">
        <w:rPr>
          <w:rFonts w:ascii="Times New Roman" w:hAnsi="Times New Roman" w:cs="Times New Roman"/>
          <w:lang w:val="en-US"/>
        </w:rPr>
        <w:t>B expression. The blue arrows indicate an upregulation, while the red arrows indicate a downregulation.</w:t>
      </w:r>
    </w:p>
    <w:p w:rsidR="006134BC" w:rsidRPr="0014792C" w:rsidRDefault="006134BC" w:rsidP="006134BC">
      <w:pPr>
        <w:spacing w:line="240" w:lineRule="auto"/>
        <w:jc w:val="both"/>
        <w:rPr>
          <w:rFonts w:ascii="Times New Roman" w:hAnsi="Times New Roman" w:cs="Times New Roman"/>
          <w:lang w:val="en-US"/>
        </w:rPr>
      </w:pPr>
      <w:bookmarkStart w:id="0" w:name="_GoBack"/>
      <w:bookmarkEnd w:id="0"/>
    </w:p>
    <w:p w:rsidR="006134BC" w:rsidRDefault="00401568" w:rsidP="005272A2">
      <w:pPr>
        <w:jc w:val="both"/>
        <w:rPr>
          <w:lang w:val="en-US"/>
        </w:rPr>
      </w:pPr>
      <w:r>
        <w:rPr>
          <w:noProof/>
          <w:lang w:val="en-US"/>
        </w:rPr>
        <w:drawing>
          <wp:inline distT="0" distB="0" distL="0" distR="0">
            <wp:extent cx="6097270" cy="3427730"/>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7270" cy="3427730"/>
                    </a:xfrm>
                    <a:prstGeom prst="rect">
                      <a:avLst/>
                    </a:prstGeom>
                    <a:noFill/>
                    <a:ln>
                      <a:noFill/>
                    </a:ln>
                  </pic:spPr>
                </pic:pic>
              </a:graphicData>
            </a:graphic>
          </wp:inline>
        </w:drawing>
      </w:r>
    </w:p>
    <w:p w:rsidR="00DA298F" w:rsidRDefault="00DA298F" w:rsidP="00B51087">
      <w:pPr>
        <w:jc w:val="center"/>
        <w:rPr>
          <w:rFonts w:ascii="Times New Roman" w:hAnsi="Times New Roman" w:cs="Times New Roman"/>
          <w:lang w:val="en-US"/>
        </w:rPr>
      </w:pPr>
      <w:r w:rsidRPr="00DA298F">
        <w:rPr>
          <w:rFonts w:ascii="Times New Roman" w:hAnsi="Times New Roman" w:cs="Times New Roman"/>
          <w:lang w:val="en-US"/>
        </w:rPr>
        <w:t xml:space="preserve">Figure 7: Schematic representation of the suggested mechanism of action of </w:t>
      </w:r>
      <w:proofErr w:type="spellStart"/>
      <w:r w:rsidRPr="00DA298F">
        <w:rPr>
          <w:rFonts w:ascii="Times New Roman" w:hAnsi="Times New Roman" w:cs="Times New Roman"/>
          <w:lang w:val="en-US"/>
        </w:rPr>
        <w:t>Ceramage</w:t>
      </w:r>
      <w:proofErr w:type="spellEnd"/>
      <w:r w:rsidRPr="0061041B">
        <w:rPr>
          <w:rFonts w:ascii="Times New Roman" w:hAnsi="Times New Roman" w:cs="Times New Roman"/>
          <w:vertAlign w:val="superscript"/>
          <w:lang w:val="en-US"/>
        </w:rPr>
        <w:t>®</w:t>
      </w:r>
      <w:r w:rsidRPr="00DA298F">
        <w:rPr>
          <w:rFonts w:ascii="Times New Roman" w:hAnsi="Times New Roman" w:cs="Times New Roman"/>
          <w:lang w:val="en-US"/>
        </w:rPr>
        <w:t xml:space="preserve"> Fluid Concentrate on miRNAs and NF-</w:t>
      </w:r>
      <w:r w:rsidRPr="00DA298F">
        <w:rPr>
          <w:rFonts w:ascii="Times New Roman" w:hAnsi="Times New Roman" w:cs="Times New Roman"/>
        </w:rPr>
        <w:t>κ</w:t>
      </w:r>
      <w:r w:rsidRPr="00DA298F">
        <w:rPr>
          <w:rFonts w:ascii="Times New Roman" w:hAnsi="Times New Roman" w:cs="Times New Roman"/>
          <w:lang w:val="en-US"/>
        </w:rPr>
        <w:t>B expression. The blue arrows indicate an upregulation, while the red arrows indicate a downregulation.</w:t>
      </w:r>
    </w:p>
    <w:p w:rsidR="00DC4734" w:rsidRDefault="00B22DB7" w:rsidP="00F6217D">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8E46185">
            <wp:extent cx="4328476" cy="2516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8476" cy="2516400"/>
                    </a:xfrm>
                    <a:prstGeom prst="rect">
                      <a:avLst/>
                    </a:prstGeom>
                    <a:noFill/>
                  </pic:spPr>
                </pic:pic>
              </a:graphicData>
            </a:graphic>
          </wp:inline>
        </w:drawing>
      </w:r>
    </w:p>
    <w:p w:rsidR="00DC4734" w:rsidRPr="0014792C" w:rsidRDefault="00DC4734" w:rsidP="00F6217D">
      <w:pPr>
        <w:jc w:val="center"/>
        <w:rPr>
          <w:rFonts w:ascii="Times New Roman" w:hAnsi="Times New Roman" w:cs="Times New Roman"/>
          <w:lang w:val="en-US"/>
        </w:rPr>
      </w:pPr>
      <w:r w:rsidRPr="00DC4734">
        <w:rPr>
          <w:rFonts w:ascii="Times New Roman" w:hAnsi="Times New Roman" w:cs="Times New Roman"/>
          <w:lang w:val="en-US"/>
        </w:rPr>
        <w:t>Figure 8: LDH release in the culture media of collected samples after 6 hours of treatment with tested compounds.</w:t>
      </w:r>
    </w:p>
    <w:p w:rsidR="00DC4734" w:rsidRDefault="00DC4734" w:rsidP="00DA298F">
      <w:pPr>
        <w:jc w:val="both"/>
        <w:rPr>
          <w:rFonts w:ascii="Times New Roman" w:hAnsi="Times New Roman" w:cs="Times New Roman"/>
          <w:lang w:val="en-US"/>
        </w:rPr>
      </w:pPr>
    </w:p>
    <w:p w:rsidR="00DC4734" w:rsidRPr="001C1A97" w:rsidRDefault="001C1A97" w:rsidP="00DA298F">
      <w:pPr>
        <w:jc w:val="both"/>
        <w:rPr>
          <w:rFonts w:ascii="Times New Roman" w:hAnsi="Times New Roman" w:cs="Times New Roman"/>
        </w:rPr>
      </w:pPr>
      <w:r w:rsidRPr="001C1A97">
        <w:rPr>
          <w:rFonts w:ascii="Times New Roman" w:hAnsi="Times New Roman" w:cs="Times New Roman"/>
        </w:rPr>
        <w:t>Negative Control (6</w:t>
      </w:r>
      <w:proofErr w:type="gramStart"/>
      <w:r w:rsidRPr="001C1A97">
        <w:rPr>
          <w:rFonts w:ascii="Times New Roman" w:hAnsi="Times New Roman" w:cs="Times New Roman"/>
        </w:rPr>
        <w:t xml:space="preserve">h)   </w:t>
      </w:r>
      <w:proofErr w:type="gramEnd"/>
      <w:r w:rsidRPr="001C1A97">
        <w:rPr>
          <w:rFonts w:ascii="Times New Roman" w:hAnsi="Times New Roman" w:cs="Times New Roman"/>
        </w:rPr>
        <w:t xml:space="preserve">                                 UVA (6h)</w:t>
      </w:r>
    </w:p>
    <w:p w:rsidR="00DA298F" w:rsidRDefault="007A34F7" w:rsidP="005272A2">
      <w:pPr>
        <w:jc w:val="both"/>
      </w:pPr>
      <w:r>
        <w:rPr>
          <w:noProof/>
          <w:lang w:val="en-US"/>
        </w:rPr>
        <w:drawing>
          <wp:inline distT="0" distB="0" distL="0" distR="0">
            <wp:extent cx="2215490" cy="16452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5490" cy="1645200"/>
                    </a:xfrm>
                    <a:prstGeom prst="rect">
                      <a:avLst/>
                    </a:prstGeom>
                    <a:noFill/>
                    <a:ln>
                      <a:noFill/>
                    </a:ln>
                  </pic:spPr>
                </pic:pic>
              </a:graphicData>
            </a:graphic>
          </wp:inline>
        </w:drawing>
      </w:r>
      <w:r w:rsidR="00D70347" w:rsidRPr="001C1A97">
        <w:t xml:space="preserve">        </w:t>
      </w:r>
      <w:r>
        <w:rPr>
          <w:noProof/>
          <w:lang w:val="en-US"/>
        </w:rPr>
        <w:drawing>
          <wp:inline distT="0" distB="0" distL="0" distR="0">
            <wp:extent cx="2215490" cy="1645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5490" cy="1645200"/>
                    </a:xfrm>
                    <a:prstGeom prst="rect">
                      <a:avLst/>
                    </a:prstGeom>
                    <a:noFill/>
                    <a:ln>
                      <a:noFill/>
                    </a:ln>
                  </pic:spPr>
                </pic:pic>
              </a:graphicData>
            </a:graphic>
          </wp:inline>
        </w:drawing>
      </w:r>
    </w:p>
    <w:p w:rsidR="001C1A97" w:rsidRPr="001C1A97" w:rsidRDefault="001C1A97" w:rsidP="001C1A97">
      <w:pPr>
        <w:jc w:val="both"/>
        <w:rPr>
          <w:rFonts w:ascii="Times New Roman" w:hAnsi="Times New Roman" w:cs="Times New Roman"/>
        </w:rPr>
      </w:pPr>
    </w:p>
    <w:p w:rsidR="001C1A97" w:rsidRPr="001C1A97" w:rsidRDefault="001C1A97" w:rsidP="001C1A97">
      <w:pPr>
        <w:jc w:val="both"/>
        <w:rPr>
          <w:rFonts w:ascii="Times New Roman" w:hAnsi="Times New Roman" w:cs="Times New Roman"/>
          <w:lang w:val="en-US"/>
        </w:rPr>
      </w:pPr>
      <w:r w:rsidRPr="001C1A97">
        <w:rPr>
          <w:rFonts w:ascii="Times New Roman" w:hAnsi="Times New Roman" w:cs="Times New Roman"/>
          <w:lang w:val="en-US"/>
        </w:rPr>
        <w:t>Anandamide 0,5% (6</w:t>
      </w:r>
      <w:proofErr w:type="gramStart"/>
      <w:r w:rsidRPr="001C1A97">
        <w:rPr>
          <w:rFonts w:ascii="Times New Roman" w:hAnsi="Times New Roman" w:cs="Times New Roman"/>
          <w:lang w:val="en-US"/>
        </w:rPr>
        <w:t xml:space="preserve">h)   </w:t>
      </w:r>
      <w:proofErr w:type="gramEnd"/>
      <w:r w:rsidRPr="001C1A97">
        <w:rPr>
          <w:rFonts w:ascii="Times New Roman" w:hAnsi="Times New Roman" w:cs="Times New Roman"/>
          <w:lang w:val="en-US"/>
        </w:rPr>
        <w:t xml:space="preserve">                                </w:t>
      </w:r>
      <w:proofErr w:type="spellStart"/>
      <w:r w:rsidRPr="001C1A97">
        <w:rPr>
          <w:rFonts w:ascii="Times New Roman" w:hAnsi="Times New Roman" w:cs="Times New Roman"/>
          <w:lang w:val="en-US"/>
        </w:rPr>
        <w:t>Ceramage</w:t>
      </w:r>
      <w:proofErr w:type="spellEnd"/>
      <w:r w:rsidRPr="001C1A97">
        <w:rPr>
          <w:rFonts w:ascii="Times New Roman" w:hAnsi="Times New Roman" w:cs="Times New Roman"/>
          <w:lang w:val="en-US"/>
        </w:rPr>
        <w:t>® Fluid Concentrate (6h)</w:t>
      </w:r>
    </w:p>
    <w:p w:rsidR="00D70347" w:rsidRPr="007E646A" w:rsidRDefault="007A34F7" w:rsidP="005272A2">
      <w:pPr>
        <w:jc w:val="both"/>
        <w:rPr>
          <w:lang w:val="en-US"/>
        </w:rPr>
      </w:pPr>
      <w:r>
        <w:rPr>
          <w:noProof/>
          <w:lang w:val="en-US"/>
        </w:rPr>
        <w:drawing>
          <wp:inline distT="0" distB="0" distL="0" distR="0">
            <wp:extent cx="2215490" cy="16452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5490" cy="1645200"/>
                    </a:xfrm>
                    <a:prstGeom prst="rect">
                      <a:avLst/>
                    </a:prstGeom>
                    <a:noFill/>
                    <a:ln>
                      <a:noFill/>
                    </a:ln>
                  </pic:spPr>
                </pic:pic>
              </a:graphicData>
            </a:graphic>
          </wp:inline>
        </w:drawing>
      </w:r>
      <w:r w:rsidR="001C1A97" w:rsidRPr="007E646A">
        <w:rPr>
          <w:lang w:val="en-US"/>
        </w:rPr>
        <w:t xml:space="preserve">         </w:t>
      </w:r>
      <w:r>
        <w:rPr>
          <w:noProof/>
          <w:lang w:val="en-US"/>
        </w:rPr>
        <w:drawing>
          <wp:inline distT="0" distB="0" distL="0" distR="0">
            <wp:extent cx="2215490" cy="16452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5490" cy="1645200"/>
                    </a:xfrm>
                    <a:prstGeom prst="rect">
                      <a:avLst/>
                    </a:prstGeom>
                    <a:noFill/>
                    <a:ln>
                      <a:noFill/>
                    </a:ln>
                  </pic:spPr>
                </pic:pic>
              </a:graphicData>
            </a:graphic>
          </wp:inline>
        </w:drawing>
      </w:r>
    </w:p>
    <w:p w:rsidR="00D761F4" w:rsidRPr="0014792C" w:rsidRDefault="00D761F4" w:rsidP="00D761F4">
      <w:pPr>
        <w:jc w:val="both"/>
        <w:rPr>
          <w:rFonts w:ascii="Times New Roman" w:hAnsi="Times New Roman" w:cs="Times New Roman"/>
          <w:lang w:val="en-US"/>
        </w:rPr>
      </w:pPr>
      <w:r w:rsidRPr="0014792C">
        <w:rPr>
          <w:rFonts w:ascii="Times New Roman" w:hAnsi="Times New Roman" w:cs="Times New Roman"/>
          <w:lang w:val="en-US"/>
        </w:rPr>
        <w:t xml:space="preserve">          </w:t>
      </w:r>
    </w:p>
    <w:p w:rsidR="00D761F4" w:rsidRPr="0014792C" w:rsidRDefault="00D761F4" w:rsidP="00D761F4">
      <w:pPr>
        <w:jc w:val="both"/>
        <w:rPr>
          <w:rFonts w:ascii="Times New Roman" w:hAnsi="Times New Roman" w:cs="Times New Roman"/>
          <w:lang w:val="en-US"/>
        </w:rPr>
      </w:pPr>
      <w:r w:rsidRPr="00D761F4">
        <w:rPr>
          <w:rFonts w:ascii="Times New Roman" w:hAnsi="Times New Roman" w:cs="Times New Roman"/>
          <w:lang w:val="en-US"/>
        </w:rPr>
        <w:t xml:space="preserve">Figure 9: H&amp;E staining histology after 6 hours treatment </w:t>
      </w:r>
      <w:r w:rsidRPr="002B1C1A">
        <w:rPr>
          <w:rFonts w:ascii="Times New Roman" w:hAnsi="Times New Roman" w:cs="Times New Roman"/>
          <w:noProof/>
          <w:lang w:val="en-US"/>
        </w:rPr>
        <w:t>post</w:t>
      </w:r>
      <w:r w:rsidR="002B1C1A">
        <w:rPr>
          <w:rFonts w:ascii="Times New Roman" w:hAnsi="Times New Roman" w:cs="Times New Roman"/>
          <w:noProof/>
          <w:lang w:val="en-US"/>
        </w:rPr>
        <w:t>-</w:t>
      </w:r>
      <w:r w:rsidRPr="002B1C1A">
        <w:rPr>
          <w:rFonts w:ascii="Times New Roman" w:hAnsi="Times New Roman" w:cs="Times New Roman"/>
          <w:noProof/>
          <w:lang w:val="en-US"/>
        </w:rPr>
        <w:t>irradiation</w:t>
      </w:r>
      <w:r w:rsidRPr="00D761F4">
        <w:rPr>
          <w:rFonts w:ascii="Times New Roman" w:hAnsi="Times New Roman" w:cs="Times New Roman"/>
          <w:lang w:val="en-US"/>
        </w:rPr>
        <w:t xml:space="preserve"> </w:t>
      </w:r>
      <w:proofErr w:type="spellStart"/>
      <w:r w:rsidRPr="00D761F4">
        <w:rPr>
          <w:rFonts w:ascii="Times New Roman" w:hAnsi="Times New Roman" w:cs="Times New Roman"/>
          <w:lang w:val="en-US"/>
        </w:rPr>
        <w:t>analysed</w:t>
      </w:r>
      <w:proofErr w:type="spellEnd"/>
      <w:r w:rsidRPr="00D761F4">
        <w:rPr>
          <w:rFonts w:ascii="Times New Roman" w:hAnsi="Times New Roman" w:cs="Times New Roman"/>
          <w:lang w:val="en-US"/>
        </w:rPr>
        <w:t xml:space="preserve"> under light microscopy (20x).</w:t>
      </w:r>
    </w:p>
    <w:p w:rsidR="00AE3195" w:rsidRDefault="00AE3195" w:rsidP="00D761F4">
      <w:pPr>
        <w:jc w:val="both"/>
        <w:rPr>
          <w:rFonts w:ascii="Times New Roman" w:hAnsi="Times New Roman" w:cs="Times New Roman"/>
          <w:lang w:val="en-US"/>
        </w:rPr>
      </w:pPr>
    </w:p>
    <w:p w:rsidR="002676FB" w:rsidRDefault="002676FB" w:rsidP="00D761F4">
      <w:pPr>
        <w:jc w:val="both"/>
        <w:rPr>
          <w:rFonts w:ascii="Times New Roman" w:hAnsi="Times New Roman" w:cs="Times New Roman"/>
          <w:lang w:val="en-US"/>
        </w:rPr>
      </w:pPr>
    </w:p>
    <w:p w:rsidR="002676FB" w:rsidRDefault="002676FB" w:rsidP="00D761F4">
      <w:pPr>
        <w:jc w:val="both"/>
        <w:rPr>
          <w:rFonts w:ascii="Times New Roman" w:hAnsi="Times New Roman" w:cs="Times New Roman"/>
          <w:lang w:val="en-US"/>
        </w:rPr>
      </w:pPr>
    </w:p>
    <w:p w:rsidR="002676FB" w:rsidRDefault="002676FB" w:rsidP="00D761F4">
      <w:pPr>
        <w:jc w:val="both"/>
        <w:rPr>
          <w:rFonts w:ascii="Times New Roman" w:hAnsi="Times New Roman" w:cs="Times New Roman"/>
          <w:lang w:val="en-US"/>
        </w:rPr>
      </w:pPr>
    </w:p>
    <w:p w:rsidR="000712DE" w:rsidRDefault="00D761F4" w:rsidP="00D761F4">
      <w:pPr>
        <w:jc w:val="both"/>
        <w:rPr>
          <w:rFonts w:ascii="Times New Roman" w:hAnsi="Times New Roman" w:cs="Times New Roman"/>
          <w:lang w:val="en-US"/>
        </w:rPr>
      </w:pPr>
      <w:r w:rsidRPr="00D761F4">
        <w:rPr>
          <w:rFonts w:ascii="Times New Roman" w:hAnsi="Times New Roman" w:cs="Times New Roman"/>
          <w:lang w:val="en-US"/>
        </w:rPr>
        <w:t xml:space="preserve">Table 1: TaqMan assays used in the </w:t>
      </w:r>
      <w:proofErr w:type="spellStart"/>
      <w:r w:rsidRPr="00D761F4">
        <w:rPr>
          <w:rFonts w:ascii="Times New Roman" w:hAnsi="Times New Roman" w:cs="Times New Roman"/>
          <w:lang w:val="en-US"/>
        </w:rPr>
        <w:t>qRT</w:t>
      </w:r>
      <w:proofErr w:type="spellEnd"/>
      <w:r w:rsidRPr="00D761F4">
        <w:rPr>
          <w:rFonts w:ascii="Times New Roman" w:hAnsi="Times New Roman" w:cs="Times New Roman"/>
          <w:lang w:val="en-US"/>
        </w:rPr>
        <w:t>-PCR analysis</w:t>
      </w:r>
      <w:r w:rsidR="00AE3195">
        <w:rPr>
          <w:rFonts w:ascii="Times New Roman" w:hAnsi="Times New Roman" w:cs="Times New Roman"/>
          <w:lang w:val="en-US"/>
        </w:rPr>
        <w:t>.</w:t>
      </w:r>
    </w:p>
    <w:tbl>
      <w:tblPr>
        <w:tblStyle w:val="Grigliatabella"/>
        <w:tblW w:w="0" w:type="auto"/>
        <w:tblLook w:val="04A0" w:firstRow="1" w:lastRow="0" w:firstColumn="1" w:lastColumn="0" w:noHBand="0" w:noVBand="1"/>
      </w:tblPr>
      <w:tblGrid>
        <w:gridCol w:w="1838"/>
        <w:gridCol w:w="1843"/>
      </w:tblGrid>
      <w:tr w:rsidR="000712DE" w:rsidTr="000712DE">
        <w:tc>
          <w:tcPr>
            <w:tcW w:w="1838" w:type="dxa"/>
          </w:tcPr>
          <w:p w:rsidR="000712DE" w:rsidRPr="000712DE" w:rsidRDefault="000712DE" w:rsidP="00D761F4">
            <w:pPr>
              <w:jc w:val="both"/>
              <w:rPr>
                <w:rFonts w:ascii="Times New Roman" w:hAnsi="Times New Roman" w:cs="Times New Roman"/>
                <w:b/>
                <w:lang w:val="en-US"/>
              </w:rPr>
            </w:pPr>
            <w:r w:rsidRPr="000712DE">
              <w:rPr>
                <w:rFonts w:ascii="Times New Roman" w:hAnsi="Times New Roman" w:cs="Times New Roman"/>
                <w:b/>
                <w:lang w:val="en-US"/>
              </w:rPr>
              <w:t>miRNA</w:t>
            </w:r>
          </w:p>
        </w:tc>
        <w:tc>
          <w:tcPr>
            <w:tcW w:w="1843" w:type="dxa"/>
          </w:tcPr>
          <w:p w:rsidR="000712DE" w:rsidRPr="000712DE" w:rsidRDefault="000712DE" w:rsidP="00D761F4">
            <w:pPr>
              <w:jc w:val="both"/>
              <w:rPr>
                <w:rFonts w:ascii="Times New Roman" w:hAnsi="Times New Roman" w:cs="Times New Roman"/>
                <w:b/>
                <w:lang w:val="en-US"/>
              </w:rPr>
            </w:pPr>
            <w:r w:rsidRPr="000712DE">
              <w:rPr>
                <w:rFonts w:ascii="Times New Roman" w:hAnsi="Times New Roman" w:cs="Times New Roman"/>
                <w:b/>
                <w:lang w:val="en-US"/>
              </w:rPr>
              <w:t>Code</w:t>
            </w:r>
          </w:p>
        </w:tc>
      </w:tr>
      <w:tr w:rsidR="000712DE" w:rsidTr="000712DE">
        <w:tc>
          <w:tcPr>
            <w:tcW w:w="1838" w:type="dxa"/>
          </w:tcPr>
          <w:p w:rsidR="000712DE" w:rsidRDefault="000712DE" w:rsidP="00D761F4">
            <w:pPr>
              <w:jc w:val="both"/>
              <w:rPr>
                <w:rFonts w:ascii="Times New Roman" w:hAnsi="Times New Roman" w:cs="Times New Roman"/>
                <w:lang w:val="en-US"/>
              </w:rPr>
            </w:pPr>
            <w:r>
              <w:rPr>
                <w:rFonts w:ascii="Times New Roman" w:hAnsi="Times New Roman" w:cs="Times New Roman"/>
                <w:lang w:val="en-US"/>
              </w:rPr>
              <w:t>HSA-miR-21</w:t>
            </w:r>
          </w:p>
        </w:tc>
        <w:tc>
          <w:tcPr>
            <w:tcW w:w="1843" w:type="dxa"/>
          </w:tcPr>
          <w:p w:rsidR="000712DE" w:rsidRDefault="000712DE" w:rsidP="00D761F4">
            <w:pPr>
              <w:jc w:val="both"/>
              <w:rPr>
                <w:rFonts w:ascii="Times New Roman" w:hAnsi="Times New Roman" w:cs="Times New Roman"/>
                <w:lang w:val="en-US"/>
              </w:rPr>
            </w:pPr>
            <w:r>
              <w:rPr>
                <w:rFonts w:ascii="Times New Roman" w:hAnsi="Times New Roman" w:cs="Times New Roman"/>
                <w:lang w:val="en-US"/>
              </w:rPr>
              <w:t>P161018-005 H01</w:t>
            </w:r>
          </w:p>
        </w:tc>
      </w:tr>
      <w:tr w:rsidR="000712DE" w:rsidTr="000712DE">
        <w:tc>
          <w:tcPr>
            <w:tcW w:w="1838" w:type="dxa"/>
          </w:tcPr>
          <w:p w:rsidR="000712DE" w:rsidRDefault="000712DE" w:rsidP="00D761F4">
            <w:pPr>
              <w:jc w:val="both"/>
              <w:rPr>
                <w:rFonts w:ascii="Times New Roman" w:hAnsi="Times New Roman" w:cs="Times New Roman"/>
                <w:lang w:val="en-US"/>
              </w:rPr>
            </w:pPr>
            <w:r>
              <w:rPr>
                <w:rFonts w:ascii="Times New Roman" w:hAnsi="Times New Roman" w:cs="Times New Roman"/>
                <w:lang w:val="en-US"/>
              </w:rPr>
              <w:t>HSA-miR-126</w:t>
            </w:r>
          </w:p>
        </w:tc>
        <w:tc>
          <w:tcPr>
            <w:tcW w:w="1843" w:type="dxa"/>
          </w:tcPr>
          <w:p w:rsidR="000712DE" w:rsidRDefault="000712DE" w:rsidP="00D761F4">
            <w:pPr>
              <w:jc w:val="both"/>
              <w:rPr>
                <w:rFonts w:ascii="Times New Roman" w:hAnsi="Times New Roman" w:cs="Times New Roman"/>
                <w:lang w:val="en-US"/>
              </w:rPr>
            </w:pPr>
            <w:r>
              <w:rPr>
                <w:rFonts w:ascii="Times New Roman" w:hAnsi="Times New Roman" w:cs="Times New Roman"/>
                <w:lang w:val="en-US"/>
              </w:rPr>
              <w:t>P161005-020 F10</w:t>
            </w:r>
          </w:p>
        </w:tc>
      </w:tr>
      <w:tr w:rsidR="000712DE" w:rsidTr="000712DE">
        <w:tc>
          <w:tcPr>
            <w:tcW w:w="1838" w:type="dxa"/>
          </w:tcPr>
          <w:p w:rsidR="000712DE" w:rsidRDefault="000712DE" w:rsidP="00D761F4">
            <w:pPr>
              <w:jc w:val="both"/>
              <w:rPr>
                <w:rFonts w:ascii="Times New Roman" w:hAnsi="Times New Roman" w:cs="Times New Roman"/>
                <w:lang w:val="en-US"/>
              </w:rPr>
            </w:pPr>
            <w:r>
              <w:rPr>
                <w:rFonts w:ascii="Times New Roman" w:hAnsi="Times New Roman" w:cs="Times New Roman"/>
                <w:lang w:val="en-US"/>
              </w:rPr>
              <w:t>HSA-miR-146a</w:t>
            </w:r>
          </w:p>
        </w:tc>
        <w:tc>
          <w:tcPr>
            <w:tcW w:w="1843" w:type="dxa"/>
          </w:tcPr>
          <w:p w:rsidR="000712DE" w:rsidRDefault="000712DE" w:rsidP="00D761F4">
            <w:pPr>
              <w:jc w:val="both"/>
              <w:rPr>
                <w:rFonts w:ascii="Times New Roman" w:hAnsi="Times New Roman" w:cs="Times New Roman"/>
                <w:lang w:val="en-US"/>
              </w:rPr>
            </w:pPr>
            <w:r>
              <w:rPr>
                <w:rFonts w:ascii="Times New Roman" w:hAnsi="Times New Roman" w:cs="Times New Roman"/>
                <w:lang w:val="en-US"/>
              </w:rPr>
              <w:t>P160919-006 C04</w:t>
            </w:r>
          </w:p>
        </w:tc>
      </w:tr>
      <w:tr w:rsidR="000712DE" w:rsidTr="000712DE">
        <w:tc>
          <w:tcPr>
            <w:tcW w:w="1838" w:type="dxa"/>
          </w:tcPr>
          <w:p w:rsidR="000712DE" w:rsidRDefault="000712DE" w:rsidP="00D761F4">
            <w:pPr>
              <w:jc w:val="both"/>
              <w:rPr>
                <w:rFonts w:ascii="Times New Roman" w:hAnsi="Times New Roman" w:cs="Times New Roman"/>
                <w:lang w:val="en-US"/>
              </w:rPr>
            </w:pPr>
            <w:r>
              <w:rPr>
                <w:rFonts w:ascii="Times New Roman" w:hAnsi="Times New Roman" w:cs="Times New Roman"/>
                <w:lang w:val="en-US"/>
              </w:rPr>
              <w:t>U18</w:t>
            </w:r>
          </w:p>
        </w:tc>
        <w:tc>
          <w:tcPr>
            <w:tcW w:w="1843" w:type="dxa"/>
          </w:tcPr>
          <w:p w:rsidR="000712DE" w:rsidRDefault="000712DE" w:rsidP="00D761F4">
            <w:pPr>
              <w:jc w:val="both"/>
              <w:rPr>
                <w:rFonts w:ascii="Times New Roman" w:hAnsi="Times New Roman" w:cs="Times New Roman"/>
                <w:lang w:val="en-US"/>
              </w:rPr>
            </w:pPr>
            <w:r>
              <w:rPr>
                <w:rFonts w:ascii="Times New Roman" w:hAnsi="Times New Roman" w:cs="Times New Roman"/>
                <w:lang w:val="en-US"/>
              </w:rPr>
              <w:t>P160831-000 H11</w:t>
            </w:r>
          </w:p>
        </w:tc>
      </w:tr>
      <w:tr w:rsidR="000712DE" w:rsidTr="000712DE">
        <w:tc>
          <w:tcPr>
            <w:tcW w:w="1838" w:type="dxa"/>
          </w:tcPr>
          <w:p w:rsidR="000712DE" w:rsidRPr="000712DE" w:rsidRDefault="000712DE" w:rsidP="00D761F4">
            <w:pPr>
              <w:jc w:val="both"/>
              <w:rPr>
                <w:rFonts w:ascii="Times New Roman" w:hAnsi="Times New Roman" w:cs="Times New Roman"/>
                <w:b/>
                <w:lang w:val="en-US"/>
              </w:rPr>
            </w:pPr>
            <w:r w:rsidRPr="000712DE">
              <w:rPr>
                <w:rFonts w:ascii="Times New Roman" w:hAnsi="Times New Roman" w:cs="Times New Roman"/>
                <w:b/>
                <w:lang w:val="en-US"/>
              </w:rPr>
              <w:t>Genes (RNA)</w:t>
            </w:r>
          </w:p>
        </w:tc>
        <w:tc>
          <w:tcPr>
            <w:tcW w:w="1843" w:type="dxa"/>
          </w:tcPr>
          <w:p w:rsidR="000712DE" w:rsidRPr="000712DE" w:rsidRDefault="000712DE" w:rsidP="00D761F4">
            <w:pPr>
              <w:jc w:val="both"/>
              <w:rPr>
                <w:rFonts w:ascii="Times New Roman" w:hAnsi="Times New Roman" w:cs="Times New Roman"/>
                <w:b/>
                <w:lang w:val="en-US"/>
              </w:rPr>
            </w:pPr>
            <w:r w:rsidRPr="000712DE">
              <w:rPr>
                <w:rFonts w:ascii="Times New Roman" w:hAnsi="Times New Roman" w:cs="Times New Roman"/>
                <w:b/>
                <w:lang w:val="en-US"/>
              </w:rPr>
              <w:t>Code</w:t>
            </w:r>
          </w:p>
        </w:tc>
      </w:tr>
      <w:tr w:rsidR="000712DE" w:rsidTr="000712DE">
        <w:tc>
          <w:tcPr>
            <w:tcW w:w="1838" w:type="dxa"/>
          </w:tcPr>
          <w:p w:rsidR="000712DE" w:rsidRDefault="000712DE" w:rsidP="00D761F4">
            <w:pPr>
              <w:jc w:val="both"/>
              <w:rPr>
                <w:rFonts w:ascii="Times New Roman" w:hAnsi="Times New Roman" w:cs="Times New Roman"/>
                <w:lang w:val="en-US"/>
              </w:rPr>
            </w:pPr>
            <w:r>
              <w:rPr>
                <w:rFonts w:ascii="Times New Roman" w:hAnsi="Times New Roman" w:cs="Times New Roman"/>
                <w:lang w:val="en-US"/>
              </w:rPr>
              <w:t>IKK-α (CHUK)</w:t>
            </w:r>
          </w:p>
        </w:tc>
        <w:tc>
          <w:tcPr>
            <w:tcW w:w="1843" w:type="dxa"/>
          </w:tcPr>
          <w:p w:rsidR="000712DE" w:rsidRDefault="000712DE" w:rsidP="00D761F4">
            <w:pPr>
              <w:jc w:val="both"/>
              <w:rPr>
                <w:rFonts w:ascii="Times New Roman" w:hAnsi="Times New Roman" w:cs="Times New Roman"/>
                <w:lang w:val="en-US"/>
              </w:rPr>
            </w:pPr>
            <w:r>
              <w:rPr>
                <w:rFonts w:ascii="Times New Roman" w:hAnsi="Times New Roman" w:cs="Times New Roman"/>
                <w:lang w:val="en-US"/>
              </w:rPr>
              <w:t>Hs00989502_m1</w:t>
            </w:r>
          </w:p>
        </w:tc>
      </w:tr>
      <w:tr w:rsidR="000712DE" w:rsidTr="000712DE">
        <w:tc>
          <w:tcPr>
            <w:tcW w:w="1838" w:type="dxa"/>
          </w:tcPr>
          <w:p w:rsidR="000712DE" w:rsidRDefault="000712DE" w:rsidP="00D761F4">
            <w:pPr>
              <w:jc w:val="both"/>
              <w:rPr>
                <w:rFonts w:ascii="Times New Roman" w:hAnsi="Times New Roman" w:cs="Times New Roman"/>
                <w:lang w:val="en-US"/>
              </w:rPr>
            </w:pPr>
            <w:r>
              <w:rPr>
                <w:rFonts w:ascii="Times New Roman" w:hAnsi="Times New Roman" w:cs="Times New Roman"/>
                <w:lang w:val="en-US"/>
              </w:rPr>
              <w:t>NF-</w:t>
            </w:r>
            <w:proofErr w:type="spellStart"/>
            <w:r>
              <w:rPr>
                <w:rFonts w:ascii="Times New Roman" w:hAnsi="Times New Roman" w:cs="Times New Roman"/>
                <w:lang w:val="en-US"/>
              </w:rPr>
              <w:t>κB</w:t>
            </w:r>
            <w:proofErr w:type="spellEnd"/>
          </w:p>
        </w:tc>
        <w:tc>
          <w:tcPr>
            <w:tcW w:w="1843" w:type="dxa"/>
          </w:tcPr>
          <w:p w:rsidR="000712DE" w:rsidRDefault="000712DE" w:rsidP="00D761F4">
            <w:pPr>
              <w:jc w:val="both"/>
              <w:rPr>
                <w:rFonts w:ascii="Times New Roman" w:hAnsi="Times New Roman" w:cs="Times New Roman"/>
                <w:lang w:val="en-US"/>
              </w:rPr>
            </w:pPr>
            <w:r>
              <w:rPr>
                <w:rFonts w:ascii="Times New Roman" w:hAnsi="Times New Roman" w:cs="Times New Roman"/>
                <w:lang w:val="en-US"/>
              </w:rPr>
              <w:t>Hs00765730_m1</w:t>
            </w:r>
          </w:p>
        </w:tc>
      </w:tr>
      <w:tr w:rsidR="000712DE" w:rsidTr="000712DE">
        <w:tc>
          <w:tcPr>
            <w:tcW w:w="1838" w:type="dxa"/>
          </w:tcPr>
          <w:p w:rsidR="000712DE" w:rsidRDefault="000712DE" w:rsidP="00D761F4">
            <w:pPr>
              <w:jc w:val="both"/>
              <w:rPr>
                <w:rFonts w:ascii="Times New Roman" w:hAnsi="Times New Roman" w:cs="Times New Roman"/>
                <w:lang w:val="en-US"/>
              </w:rPr>
            </w:pPr>
            <w:r>
              <w:rPr>
                <w:rFonts w:ascii="Times New Roman" w:hAnsi="Times New Roman" w:cs="Times New Roman"/>
                <w:lang w:val="en-US"/>
              </w:rPr>
              <w:t>GADPH</w:t>
            </w:r>
          </w:p>
        </w:tc>
        <w:tc>
          <w:tcPr>
            <w:tcW w:w="1843" w:type="dxa"/>
          </w:tcPr>
          <w:p w:rsidR="000712DE" w:rsidRDefault="000712DE" w:rsidP="00D761F4">
            <w:pPr>
              <w:jc w:val="both"/>
              <w:rPr>
                <w:rFonts w:ascii="Times New Roman" w:hAnsi="Times New Roman" w:cs="Times New Roman"/>
                <w:lang w:val="en-US"/>
              </w:rPr>
            </w:pPr>
            <w:r>
              <w:rPr>
                <w:rFonts w:ascii="Times New Roman" w:hAnsi="Times New Roman" w:cs="Times New Roman"/>
                <w:lang w:val="en-US"/>
              </w:rPr>
              <w:t>Hs99999905_m1</w:t>
            </w:r>
          </w:p>
        </w:tc>
      </w:tr>
    </w:tbl>
    <w:p w:rsidR="00AE3195" w:rsidRDefault="00AE3195" w:rsidP="00D761F4">
      <w:pPr>
        <w:jc w:val="both"/>
        <w:rPr>
          <w:rFonts w:ascii="Times New Roman" w:hAnsi="Times New Roman" w:cs="Times New Roman"/>
          <w:lang w:val="en-US"/>
        </w:rPr>
      </w:pPr>
    </w:p>
    <w:p w:rsidR="004B11A8" w:rsidRPr="004B11A8" w:rsidRDefault="004B11A8" w:rsidP="004B11A8">
      <w:pPr>
        <w:jc w:val="both"/>
        <w:rPr>
          <w:rFonts w:ascii="Times New Roman" w:hAnsi="Times New Roman" w:cs="Times New Roman"/>
          <w:lang w:val="en-US"/>
        </w:rPr>
      </w:pPr>
      <w:r w:rsidRPr="004B11A8">
        <w:rPr>
          <w:rFonts w:ascii="Times New Roman" w:hAnsi="Times New Roman" w:cs="Times New Roman"/>
          <w:lang w:val="en-US"/>
        </w:rPr>
        <w:t>Table 2: miRNA and RNA gene expression after irradiation and treatment with Anandamide 0,5%.</w:t>
      </w:r>
    </w:p>
    <w:p w:rsidR="004B11A8" w:rsidRDefault="004B11A8" w:rsidP="004B11A8">
      <w:pPr>
        <w:jc w:val="both"/>
        <w:rPr>
          <w:rFonts w:ascii="Times New Roman" w:hAnsi="Times New Roman" w:cs="Times New Roman"/>
          <w:lang w:val="en-US"/>
        </w:rPr>
      </w:pPr>
      <w:r w:rsidRPr="004B11A8">
        <w:rPr>
          <w:rFonts w:ascii="Times New Roman" w:hAnsi="Times New Roman" w:cs="Times New Roman"/>
          <w:lang w:val="en-US"/>
        </w:rPr>
        <w:t>Legend: RQ=1 Negative control, RQ ≤ 0,5 significant downregulation, RQ ≥ 2 significant upregulation.</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C56486" w:rsidTr="00C80F1C">
        <w:tc>
          <w:tcPr>
            <w:tcW w:w="1375" w:type="dxa"/>
          </w:tcPr>
          <w:p w:rsidR="00C56486" w:rsidRDefault="00C56486" w:rsidP="00B00873">
            <w:pPr>
              <w:jc w:val="both"/>
              <w:rPr>
                <w:rFonts w:ascii="Times New Roman" w:hAnsi="Times New Roman" w:cs="Times New Roman"/>
                <w:lang w:val="en-US"/>
              </w:rPr>
            </w:pPr>
          </w:p>
        </w:tc>
        <w:tc>
          <w:tcPr>
            <w:tcW w:w="1375" w:type="dxa"/>
            <w:vAlign w:val="center"/>
          </w:tcPr>
          <w:p w:rsidR="00C56486" w:rsidRPr="00C80F1C" w:rsidRDefault="00C56486" w:rsidP="00C80F1C">
            <w:pPr>
              <w:jc w:val="center"/>
              <w:rPr>
                <w:rFonts w:ascii="Times New Roman" w:hAnsi="Times New Roman" w:cs="Times New Roman"/>
              </w:rPr>
            </w:pPr>
            <w:r w:rsidRPr="00C56486">
              <w:rPr>
                <w:rFonts w:ascii="Times New Roman" w:hAnsi="Times New Roman" w:cs="Times New Roman"/>
                <w:b/>
                <w:bCs/>
              </w:rPr>
              <w:t>miR-126</w:t>
            </w:r>
          </w:p>
        </w:tc>
        <w:tc>
          <w:tcPr>
            <w:tcW w:w="1375" w:type="dxa"/>
            <w:vAlign w:val="center"/>
          </w:tcPr>
          <w:p w:rsidR="00C56486" w:rsidRPr="00C80F1C" w:rsidRDefault="00C56486" w:rsidP="00C80F1C">
            <w:pPr>
              <w:jc w:val="center"/>
              <w:rPr>
                <w:rFonts w:ascii="Times New Roman" w:hAnsi="Times New Roman" w:cs="Times New Roman"/>
              </w:rPr>
            </w:pPr>
            <w:r w:rsidRPr="00C56486">
              <w:rPr>
                <w:rFonts w:ascii="Times New Roman" w:hAnsi="Times New Roman" w:cs="Times New Roman"/>
                <w:b/>
                <w:bCs/>
              </w:rPr>
              <w:t>miR-146a</w:t>
            </w:r>
          </w:p>
        </w:tc>
        <w:tc>
          <w:tcPr>
            <w:tcW w:w="1375" w:type="dxa"/>
            <w:vAlign w:val="center"/>
          </w:tcPr>
          <w:p w:rsidR="00C56486" w:rsidRPr="00C80F1C" w:rsidRDefault="00C56486" w:rsidP="00C80F1C">
            <w:pPr>
              <w:jc w:val="center"/>
              <w:rPr>
                <w:rFonts w:ascii="Times New Roman" w:hAnsi="Times New Roman" w:cs="Times New Roman"/>
              </w:rPr>
            </w:pPr>
            <w:r w:rsidRPr="00C56486">
              <w:rPr>
                <w:rFonts w:ascii="Times New Roman" w:hAnsi="Times New Roman" w:cs="Times New Roman"/>
                <w:b/>
                <w:bCs/>
              </w:rPr>
              <w:t>miR-21</w:t>
            </w:r>
          </w:p>
        </w:tc>
        <w:tc>
          <w:tcPr>
            <w:tcW w:w="1376" w:type="dxa"/>
            <w:vAlign w:val="center"/>
          </w:tcPr>
          <w:p w:rsidR="00C56486" w:rsidRPr="00C80F1C" w:rsidRDefault="00C56486" w:rsidP="00C80F1C">
            <w:pPr>
              <w:jc w:val="center"/>
              <w:rPr>
                <w:rFonts w:ascii="Times New Roman" w:hAnsi="Times New Roman" w:cs="Times New Roman"/>
              </w:rPr>
            </w:pPr>
            <w:r w:rsidRPr="00C56486">
              <w:rPr>
                <w:rFonts w:ascii="Times New Roman" w:hAnsi="Times New Roman" w:cs="Times New Roman"/>
                <w:b/>
                <w:bCs/>
              </w:rPr>
              <w:t>CHUK</w:t>
            </w:r>
          </w:p>
        </w:tc>
        <w:tc>
          <w:tcPr>
            <w:tcW w:w="1376" w:type="dxa"/>
            <w:vAlign w:val="center"/>
          </w:tcPr>
          <w:p w:rsidR="00C56486" w:rsidRPr="00C80F1C" w:rsidRDefault="00C56486" w:rsidP="00C80F1C">
            <w:pPr>
              <w:jc w:val="center"/>
              <w:rPr>
                <w:rFonts w:ascii="Times New Roman" w:hAnsi="Times New Roman" w:cs="Times New Roman"/>
              </w:rPr>
            </w:pPr>
            <w:r w:rsidRPr="00C56486">
              <w:rPr>
                <w:rFonts w:ascii="Times New Roman" w:hAnsi="Times New Roman" w:cs="Times New Roman"/>
                <w:b/>
                <w:bCs/>
              </w:rPr>
              <w:t>IKBKG</w:t>
            </w:r>
          </w:p>
        </w:tc>
        <w:tc>
          <w:tcPr>
            <w:tcW w:w="1376" w:type="dxa"/>
            <w:vAlign w:val="center"/>
          </w:tcPr>
          <w:p w:rsidR="00C56486" w:rsidRPr="00C80F1C" w:rsidRDefault="00C56486" w:rsidP="00C80F1C">
            <w:pPr>
              <w:jc w:val="center"/>
              <w:rPr>
                <w:rFonts w:ascii="Times New Roman" w:hAnsi="Times New Roman" w:cs="Times New Roman"/>
              </w:rPr>
            </w:pPr>
            <w:r w:rsidRPr="00C56486">
              <w:rPr>
                <w:rFonts w:ascii="Times New Roman" w:hAnsi="Times New Roman" w:cs="Times New Roman"/>
                <w:b/>
                <w:bCs/>
              </w:rPr>
              <w:t>NFKB1</w:t>
            </w:r>
          </w:p>
        </w:tc>
      </w:tr>
      <w:tr w:rsidR="00C56486" w:rsidTr="00C80F1C">
        <w:tc>
          <w:tcPr>
            <w:tcW w:w="1375" w:type="dxa"/>
            <w:vAlign w:val="center"/>
          </w:tcPr>
          <w:p w:rsidR="00C56486" w:rsidRPr="00C56486" w:rsidRDefault="00C56486" w:rsidP="00C80F1C">
            <w:pPr>
              <w:jc w:val="center"/>
              <w:rPr>
                <w:rFonts w:ascii="Times New Roman" w:hAnsi="Times New Roman" w:cs="Times New Roman"/>
              </w:rPr>
            </w:pPr>
            <w:r w:rsidRPr="00C56486">
              <w:rPr>
                <w:rFonts w:ascii="Times New Roman" w:hAnsi="Times New Roman" w:cs="Times New Roman"/>
              </w:rPr>
              <w:t>UVA</w:t>
            </w:r>
          </w:p>
        </w:tc>
        <w:tc>
          <w:tcPr>
            <w:tcW w:w="1375" w:type="dxa"/>
            <w:vAlign w:val="center"/>
          </w:tcPr>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2.171</w:t>
            </w:r>
          </w:p>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 0.000</w:t>
            </w:r>
          </w:p>
        </w:tc>
        <w:tc>
          <w:tcPr>
            <w:tcW w:w="1375" w:type="dxa"/>
            <w:vAlign w:val="center"/>
          </w:tcPr>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1.518</w:t>
            </w:r>
          </w:p>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 0.000</w:t>
            </w:r>
          </w:p>
        </w:tc>
        <w:tc>
          <w:tcPr>
            <w:tcW w:w="1375" w:type="dxa"/>
            <w:vAlign w:val="center"/>
          </w:tcPr>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4.118</w:t>
            </w:r>
          </w:p>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 0.000</w:t>
            </w:r>
          </w:p>
        </w:tc>
        <w:tc>
          <w:tcPr>
            <w:tcW w:w="1376" w:type="dxa"/>
            <w:vAlign w:val="center"/>
          </w:tcPr>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1.206</w:t>
            </w:r>
          </w:p>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 0.524</w:t>
            </w:r>
          </w:p>
        </w:tc>
        <w:tc>
          <w:tcPr>
            <w:tcW w:w="1376" w:type="dxa"/>
            <w:vAlign w:val="center"/>
          </w:tcPr>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1.687</w:t>
            </w:r>
          </w:p>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 0.089</w:t>
            </w:r>
          </w:p>
        </w:tc>
        <w:tc>
          <w:tcPr>
            <w:tcW w:w="1376" w:type="dxa"/>
            <w:vAlign w:val="center"/>
          </w:tcPr>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1.948</w:t>
            </w:r>
          </w:p>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 0.174</w:t>
            </w:r>
          </w:p>
        </w:tc>
      </w:tr>
      <w:tr w:rsidR="00C56486" w:rsidTr="00C80F1C">
        <w:tc>
          <w:tcPr>
            <w:tcW w:w="1375" w:type="dxa"/>
            <w:vAlign w:val="center"/>
          </w:tcPr>
          <w:p w:rsidR="00C56486" w:rsidRPr="00C56486" w:rsidRDefault="00C56486" w:rsidP="00C80F1C">
            <w:pPr>
              <w:jc w:val="center"/>
              <w:rPr>
                <w:rFonts w:ascii="Times New Roman" w:hAnsi="Times New Roman" w:cs="Times New Roman"/>
              </w:rPr>
            </w:pPr>
            <w:proofErr w:type="spellStart"/>
            <w:r w:rsidRPr="00C56486">
              <w:rPr>
                <w:rFonts w:ascii="Times New Roman" w:hAnsi="Times New Roman" w:cs="Times New Roman"/>
              </w:rPr>
              <w:t>Anandamide</w:t>
            </w:r>
            <w:proofErr w:type="spellEnd"/>
            <w:r w:rsidRPr="00C56486">
              <w:rPr>
                <w:rFonts w:ascii="Times New Roman" w:hAnsi="Times New Roman" w:cs="Times New Roman"/>
              </w:rPr>
              <w:t xml:space="preserve"> 0,5%</w:t>
            </w:r>
          </w:p>
        </w:tc>
        <w:tc>
          <w:tcPr>
            <w:tcW w:w="1375" w:type="dxa"/>
            <w:vAlign w:val="center"/>
          </w:tcPr>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2.821</w:t>
            </w:r>
          </w:p>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 0.986</w:t>
            </w:r>
          </w:p>
        </w:tc>
        <w:tc>
          <w:tcPr>
            <w:tcW w:w="1375" w:type="dxa"/>
            <w:vAlign w:val="center"/>
          </w:tcPr>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1.950</w:t>
            </w:r>
          </w:p>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 0.000</w:t>
            </w:r>
          </w:p>
        </w:tc>
        <w:tc>
          <w:tcPr>
            <w:tcW w:w="1375" w:type="dxa"/>
            <w:vAlign w:val="center"/>
          </w:tcPr>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3.551</w:t>
            </w:r>
          </w:p>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 0.291</w:t>
            </w:r>
          </w:p>
        </w:tc>
        <w:tc>
          <w:tcPr>
            <w:tcW w:w="1376" w:type="dxa"/>
            <w:vAlign w:val="center"/>
          </w:tcPr>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1.219</w:t>
            </w:r>
          </w:p>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 0.379</w:t>
            </w:r>
          </w:p>
        </w:tc>
        <w:tc>
          <w:tcPr>
            <w:tcW w:w="1376" w:type="dxa"/>
            <w:vAlign w:val="center"/>
          </w:tcPr>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1.909</w:t>
            </w:r>
          </w:p>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 0.115</w:t>
            </w:r>
          </w:p>
        </w:tc>
        <w:tc>
          <w:tcPr>
            <w:tcW w:w="1376" w:type="dxa"/>
            <w:vAlign w:val="center"/>
          </w:tcPr>
          <w:p w:rsidR="00C56486" w:rsidRPr="00C56486" w:rsidRDefault="00C56486" w:rsidP="00C56486">
            <w:pPr>
              <w:jc w:val="center"/>
              <w:rPr>
                <w:rFonts w:ascii="Times New Roman" w:hAnsi="Times New Roman" w:cs="Times New Roman"/>
              </w:rPr>
            </w:pPr>
            <w:r w:rsidRPr="00C56486">
              <w:rPr>
                <w:rFonts w:ascii="Times New Roman" w:hAnsi="Times New Roman" w:cs="Times New Roman"/>
              </w:rPr>
              <w:t>2.486</w:t>
            </w:r>
          </w:p>
          <w:p w:rsidR="00C56486" w:rsidRDefault="00C56486" w:rsidP="00C56486">
            <w:pPr>
              <w:jc w:val="center"/>
              <w:rPr>
                <w:rFonts w:ascii="Times New Roman" w:hAnsi="Times New Roman" w:cs="Times New Roman"/>
                <w:lang w:val="en-US"/>
              </w:rPr>
            </w:pPr>
            <w:r w:rsidRPr="00C56486">
              <w:rPr>
                <w:rFonts w:ascii="Times New Roman" w:hAnsi="Times New Roman" w:cs="Times New Roman"/>
              </w:rPr>
              <w:t>± 0.196</w:t>
            </w:r>
          </w:p>
        </w:tc>
      </w:tr>
    </w:tbl>
    <w:p w:rsidR="00C56486" w:rsidRDefault="00C56486" w:rsidP="00B00873">
      <w:pPr>
        <w:jc w:val="both"/>
        <w:rPr>
          <w:rFonts w:ascii="Times New Roman" w:hAnsi="Times New Roman" w:cs="Times New Roman"/>
          <w:lang w:val="en-US"/>
        </w:rPr>
      </w:pPr>
    </w:p>
    <w:p w:rsidR="00B00873" w:rsidRPr="00B00873" w:rsidRDefault="00B00873" w:rsidP="00B00873">
      <w:pPr>
        <w:jc w:val="both"/>
        <w:rPr>
          <w:rFonts w:ascii="Times New Roman" w:hAnsi="Times New Roman" w:cs="Times New Roman"/>
          <w:lang w:val="en-US"/>
        </w:rPr>
      </w:pPr>
      <w:r w:rsidRPr="00B00873">
        <w:rPr>
          <w:rFonts w:ascii="Times New Roman" w:hAnsi="Times New Roman" w:cs="Times New Roman"/>
          <w:lang w:val="en-US"/>
        </w:rPr>
        <w:t xml:space="preserve">Table 3: miRNA and RNA gene expression after irradiation and treatment with </w:t>
      </w:r>
      <w:proofErr w:type="spellStart"/>
      <w:r w:rsidRPr="00B00873">
        <w:rPr>
          <w:rFonts w:ascii="Times New Roman" w:hAnsi="Times New Roman" w:cs="Times New Roman"/>
          <w:lang w:val="en-US"/>
        </w:rPr>
        <w:t>Isopalmide</w:t>
      </w:r>
      <w:proofErr w:type="spellEnd"/>
      <w:r w:rsidRPr="00060EF3">
        <w:rPr>
          <w:rFonts w:ascii="Times New Roman" w:hAnsi="Times New Roman" w:cs="Times New Roman"/>
          <w:vertAlign w:val="superscript"/>
          <w:lang w:val="en-US"/>
        </w:rPr>
        <w:t>®</w:t>
      </w:r>
      <w:r w:rsidRPr="00B00873">
        <w:rPr>
          <w:rFonts w:ascii="Times New Roman" w:hAnsi="Times New Roman" w:cs="Times New Roman"/>
          <w:lang w:val="en-US"/>
        </w:rPr>
        <w:t xml:space="preserve"> 0,1%</w:t>
      </w:r>
    </w:p>
    <w:p w:rsidR="00B00873" w:rsidRDefault="00B00873" w:rsidP="00B00873">
      <w:pPr>
        <w:jc w:val="both"/>
        <w:rPr>
          <w:rFonts w:ascii="Times New Roman" w:hAnsi="Times New Roman" w:cs="Times New Roman"/>
          <w:lang w:val="en-US"/>
        </w:rPr>
      </w:pPr>
      <w:r w:rsidRPr="00B00873">
        <w:rPr>
          <w:rFonts w:ascii="Times New Roman" w:hAnsi="Times New Roman" w:cs="Times New Roman"/>
          <w:lang w:val="en-US"/>
        </w:rPr>
        <w:t>Legend: RQ=1 Negative control, RQ ≤ 0,5 significant downregulation, RQ ≥ 2 significant upregulation.</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CC1FFF" w:rsidRPr="00C80F1C" w:rsidTr="00DB1B8F">
        <w:tc>
          <w:tcPr>
            <w:tcW w:w="1375" w:type="dxa"/>
          </w:tcPr>
          <w:p w:rsidR="00CC1FFF" w:rsidRDefault="00CC1FFF" w:rsidP="00DB1B8F">
            <w:pPr>
              <w:jc w:val="both"/>
              <w:rPr>
                <w:rFonts w:ascii="Times New Roman" w:hAnsi="Times New Roman" w:cs="Times New Roman"/>
                <w:lang w:val="en-US"/>
              </w:rPr>
            </w:pPr>
          </w:p>
        </w:tc>
        <w:tc>
          <w:tcPr>
            <w:tcW w:w="1375" w:type="dxa"/>
            <w:vAlign w:val="center"/>
          </w:tcPr>
          <w:p w:rsidR="00CC1FFF" w:rsidRPr="00C80F1C" w:rsidRDefault="00CC1FFF" w:rsidP="00DB1B8F">
            <w:pPr>
              <w:jc w:val="center"/>
              <w:rPr>
                <w:rFonts w:ascii="Times New Roman" w:hAnsi="Times New Roman" w:cs="Times New Roman"/>
              </w:rPr>
            </w:pPr>
            <w:r w:rsidRPr="00C56486">
              <w:rPr>
                <w:rFonts w:ascii="Times New Roman" w:hAnsi="Times New Roman" w:cs="Times New Roman"/>
                <w:b/>
                <w:bCs/>
              </w:rPr>
              <w:t>miR-126</w:t>
            </w:r>
          </w:p>
        </w:tc>
        <w:tc>
          <w:tcPr>
            <w:tcW w:w="1375" w:type="dxa"/>
            <w:vAlign w:val="center"/>
          </w:tcPr>
          <w:p w:rsidR="00CC1FFF" w:rsidRPr="00C80F1C" w:rsidRDefault="00CC1FFF" w:rsidP="00DB1B8F">
            <w:pPr>
              <w:jc w:val="center"/>
              <w:rPr>
                <w:rFonts w:ascii="Times New Roman" w:hAnsi="Times New Roman" w:cs="Times New Roman"/>
              </w:rPr>
            </w:pPr>
            <w:r w:rsidRPr="00C56486">
              <w:rPr>
                <w:rFonts w:ascii="Times New Roman" w:hAnsi="Times New Roman" w:cs="Times New Roman"/>
                <w:b/>
                <w:bCs/>
              </w:rPr>
              <w:t>miR-146a</w:t>
            </w:r>
          </w:p>
        </w:tc>
        <w:tc>
          <w:tcPr>
            <w:tcW w:w="1375" w:type="dxa"/>
            <w:vAlign w:val="center"/>
          </w:tcPr>
          <w:p w:rsidR="00CC1FFF" w:rsidRPr="00C80F1C" w:rsidRDefault="00CC1FFF" w:rsidP="00DB1B8F">
            <w:pPr>
              <w:jc w:val="center"/>
              <w:rPr>
                <w:rFonts w:ascii="Times New Roman" w:hAnsi="Times New Roman" w:cs="Times New Roman"/>
              </w:rPr>
            </w:pPr>
            <w:r w:rsidRPr="00C56486">
              <w:rPr>
                <w:rFonts w:ascii="Times New Roman" w:hAnsi="Times New Roman" w:cs="Times New Roman"/>
                <w:b/>
                <w:bCs/>
              </w:rPr>
              <w:t>miR-21</w:t>
            </w:r>
          </w:p>
        </w:tc>
        <w:tc>
          <w:tcPr>
            <w:tcW w:w="1376" w:type="dxa"/>
            <w:vAlign w:val="center"/>
          </w:tcPr>
          <w:p w:rsidR="00CC1FFF" w:rsidRPr="00C80F1C" w:rsidRDefault="00CC1FFF" w:rsidP="00DB1B8F">
            <w:pPr>
              <w:jc w:val="center"/>
              <w:rPr>
                <w:rFonts w:ascii="Times New Roman" w:hAnsi="Times New Roman" w:cs="Times New Roman"/>
              </w:rPr>
            </w:pPr>
            <w:r w:rsidRPr="00C56486">
              <w:rPr>
                <w:rFonts w:ascii="Times New Roman" w:hAnsi="Times New Roman" w:cs="Times New Roman"/>
                <w:b/>
                <w:bCs/>
              </w:rPr>
              <w:t>CHUK</w:t>
            </w:r>
          </w:p>
        </w:tc>
        <w:tc>
          <w:tcPr>
            <w:tcW w:w="1376" w:type="dxa"/>
            <w:vAlign w:val="center"/>
          </w:tcPr>
          <w:p w:rsidR="00CC1FFF" w:rsidRPr="00C80F1C" w:rsidRDefault="00CC1FFF" w:rsidP="00DB1B8F">
            <w:pPr>
              <w:jc w:val="center"/>
              <w:rPr>
                <w:rFonts w:ascii="Times New Roman" w:hAnsi="Times New Roman" w:cs="Times New Roman"/>
              </w:rPr>
            </w:pPr>
            <w:r w:rsidRPr="00C56486">
              <w:rPr>
                <w:rFonts w:ascii="Times New Roman" w:hAnsi="Times New Roman" w:cs="Times New Roman"/>
                <w:b/>
                <w:bCs/>
              </w:rPr>
              <w:t>IKBKG</w:t>
            </w:r>
          </w:p>
        </w:tc>
        <w:tc>
          <w:tcPr>
            <w:tcW w:w="1376" w:type="dxa"/>
            <w:vAlign w:val="center"/>
          </w:tcPr>
          <w:p w:rsidR="00CC1FFF" w:rsidRPr="00C80F1C" w:rsidRDefault="00CC1FFF" w:rsidP="00DB1B8F">
            <w:pPr>
              <w:jc w:val="center"/>
              <w:rPr>
                <w:rFonts w:ascii="Times New Roman" w:hAnsi="Times New Roman" w:cs="Times New Roman"/>
              </w:rPr>
            </w:pPr>
            <w:r w:rsidRPr="00C56486">
              <w:rPr>
                <w:rFonts w:ascii="Times New Roman" w:hAnsi="Times New Roman" w:cs="Times New Roman"/>
                <w:b/>
                <w:bCs/>
              </w:rPr>
              <w:t>NFKB1</w:t>
            </w:r>
          </w:p>
        </w:tc>
      </w:tr>
      <w:tr w:rsidR="00CC1FFF" w:rsidRPr="00C56486" w:rsidTr="00DB1B8F">
        <w:tc>
          <w:tcPr>
            <w:tcW w:w="1375" w:type="dxa"/>
            <w:vAlign w:val="center"/>
          </w:tcPr>
          <w:p w:rsidR="00CC1FFF" w:rsidRPr="00C56486" w:rsidRDefault="00CC1FFF" w:rsidP="00DB1B8F">
            <w:pPr>
              <w:jc w:val="center"/>
              <w:rPr>
                <w:rFonts w:ascii="Times New Roman" w:hAnsi="Times New Roman" w:cs="Times New Roman"/>
              </w:rPr>
            </w:pPr>
            <w:r w:rsidRPr="00C56486">
              <w:rPr>
                <w:rFonts w:ascii="Times New Roman" w:hAnsi="Times New Roman" w:cs="Times New Roman"/>
              </w:rPr>
              <w:t>UVA</w:t>
            </w:r>
          </w:p>
        </w:tc>
        <w:tc>
          <w:tcPr>
            <w:tcW w:w="1375" w:type="dxa"/>
            <w:vAlign w:val="center"/>
          </w:tcPr>
          <w:p w:rsidR="00CC1FFF" w:rsidRPr="00C56486" w:rsidRDefault="00CC1FFF" w:rsidP="00DB1B8F">
            <w:pPr>
              <w:jc w:val="center"/>
              <w:rPr>
                <w:rFonts w:ascii="Times New Roman" w:hAnsi="Times New Roman" w:cs="Times New Roman"/>
              </w:rPr>
            </w:pPr>
            <w:r w:rsidRPr="00C56486">
              <w:rPr>
                <w:rFonts w:ascii="Times New Roman" w:hAnsi="Times New Roman" w:cs="Times New Roman"/>
              </w:rPr>
              <w:t>2.171</w:t>
            </w:r>
          </w:p>
          <w:p w:rsidR="00CC1FFF" w:rsidRPr="00C56486" w:rsidRDefault="00CC1FFF" w:rsidP="00DB1B8F">
            <w:pPr>
              <w:jc w:val="center"/>
              <w:rPr>
                <w:rFonts w:ascii="Times New Roman" w:hAnsi="Times New Roman" w:cs="Times New Roman"/>
              </w:rPr>
            </w:pPr>
            <w:r w:rsidRPr="00C56486">
              <w:rPr>
                <w:rFonts w:ascii="Times New Roman" w:hAnsi="Times New Roman" w:cs="Times New Roman"/>
              </w:rPr>
              <w:t>± 0.000</w:t>
            </w:r>
          </w:p>
        </w:tc>
        <w:tc>
          <w:tcPr>
            <w:tcW w:w="1375" w:type="dxa"/>
            <w:vAlign w:val="center"/>
          </w:tcPr>
          <w:p w:rsidR="00CC1FFF" w:rsidRPr="00C56486" w:rsidRDefault="00CC1FFF" w:rsidP="00DB1B8F">
            <w:pPr>
              <w:jc w:val="center"/>
              <w:rPr>
                <w:rFonts w:ascii="Times New Roman" w:hAnsi="Times New Roman" w:cs="Times New Roman"/>
              </w:rPr>
            </w:pPr>
            <w:r w:rsidRPr="00C56486">
              <w:rPr>
                <w:rFonts w:ascii="Times New Roman" w:hAnsi="Times New Roman" w:cs="Times New Roman"/>
              </w:rPr>
              <w:t>1.518</w:t>
            </w:r>
          </w:p>
          <w:p w:rsidR="00CC1FFF" w:rsidRPr="00C56486" w:rsidRDefault="00CC1FFF" w:rsidP="00DB1B8F">
            <w:pPr>
              <w:jc w:val="center"/>
              <w:rPr>
                <w:rFonts w:ascii="Times New Roman" w:hAnsi="Times New Roman" w:cs="Times New Roman"/>
              </w:rPr>
            </w:pPr>
            <w:r w:rsidRPr="00C56486">
              <w:rPr>
                <w:rFonts w:ascii="Times New Roman" w:hAnsi="Times New Roman" w:cs="Times New Roman"/>
              </w:rPr>
              <w:t>± 0.000</w:t>
            </w:r>
          </w:p>
        </w:tc>
        <w:tc>
          <w:tcPr>
            <w:tcW w:w="1375" w:type="dxa"/>
            <w:vAlign w:val="center"/>
          </w:tcPr>
          <w:p w:rsidR="00CC1FFF" w:rsidRPr="00C56486" w:rsidRDefault="00CC1FFF" w:rsidP="00DB1B8F">
            <w:pPr>
              <w:jc w:val="center"/>
              <w:rPr>
                <w:rFonts w:ascii="Times New Roman" w:hAnsi="Times New Roman" w:cs="Times New Roman"/>
              </w:rPr>
            </w:pPr>
            <w:r w:rsidRPr="00C56486">
              <w:rPr>
                <w:rFonts w:ascii="Times New Roman" w:hAnsi="Times New Roman" w:cs="Times New Roman"/>
              </w:rPr>
              <w:t>4.118</w:t>
            </w:r>
          </w:p>
          <w:p w:rsidR="00CC1FFF" w:rsidRPr="00C56486" w:rsidRDefault="00CC1FFF" w:rsidP="00DB1B8F">
            <w:pPr>
              <w:jc w:val="center"/>
              <w:rPr>
                <w:rFonts w:ascii="Times New Roman" w:hAnsi="Times New Roman" w:cs="Times New Roman"/>
              </w:rPr>
            </w:pPr>
            <w:r w:rsidRPr="00C56486">
              <w:rPr>
                <w:rFonts w:ascii="Times New Roman" w:hAnsi="Times New Roman" w:cs="Times New Roman"/>
              </w:rPr>
              <w:t>± 0.000</w:t>
            </w:r>
          </w:p>
        </w:tc>
        <w:tc>
          <w:tcPr>
            <w:tcW w:w="1376" w:type="dxa"/>
            <w:vAlign w:val="center"/>
          </w:tcPr>
          <w:p w:rsidR="00CC1FFF" w:rsidRPr="00C56486" w:rsidRDefault="00CC1FFF" w:rsidP="00DB1B8F">
            <w:pPr>
              <w:jc w:val="center"/>
              <w:rPr>
                <w:rFonts w:ascii="Times New Roman" w:hAnsi="Times New Roman" w:cs="Times New Roman"/>
              </w:rPr>
            </w:pPr>
            <w:r w:rsidRPr="00C56486">
              <w:rPr>
                <w:rFonts w:ascii="Times New Roman" w:hAnsi="Times New Roman" w:cs="Times New Roman"/>
              </w:rPr>
              <w:t>1.206</w:t>
            </w:r>
          </w:p>
          <w:p w:rsidR="00CC1FFF" w:rsidRPr="00C56486" w:rsidRDefault="00CC1FFF" w:rsidP="00DB1B8F">
            <w:pPr>
              <w:jc w:val="center"/>
              <w:rPr>
                <w:rFonts w:ascii="Times New Roman" w:hAnsi="Times New Roman" w:cs="Times New Roman"/>
              </w:rPr>
            </w:pPr>
            <w:r w:rsidRPr="00C56486">
              <w:rPr>
                <w:rFonts w:ascii="Times New Roman" w:hAnsi="Times New Roman" w:cs="Times New Roman"/>
              </w:rPr>
              <w:t>± 0.524</w:t>
            </w:r>
          </w:p>
        </w:tc>
        <w:tc>
          <w:tcPr>
            <w:tcW w:w="1376" w:type="dxa"/>
            <w:vAlign w:val="center"/>
          </w:tcPr>
          <w:p w:rsidR="00CC1FFF" w:rsidRPr="00C56486" w:rsidRDefault="00CC1FFF" w:rsidP="00DB1B8F">
            <w:pPr>
              <w:jc w:val="center"/>
              <w:rPr>
                <w:rFonts w:ascii="Times New Roman" w:hAnsi="Times New Roman" w:cs="Times New Roman"/>
              </w:rPr>
            </w:pPr>
            <w:r w:rsidRPr="00C56486">
              <w:rPr>
                <w:rFonts w:ascii="Times New Roman" w:hAnsi="Times New Roman" w:cs="Times New Roman"/>
              </w:rPr>
              <w:t>1.687</w:t>
            </w:r>
          </w:p>
          <w:p w:rsidR="00CC1FFF" w:rsidRPr="00C56486" w:rsidRDefault="00CC1FFF" w:rsidP="00DB1B8F">
            <w:pPr>
              <w:jc w:val="center"/>
              <w:rPr>
                <w:rFonts w:ascii="Times New Roman" w:hAnsi="Times New Roman" w:cs="Times New Roman"/>
              </w:rPr>
            </w:pPr>
            <w:r w:rsidRPr="00C56486">
              <w:rPr>
                <w:rFonts w:ascii="Times New Roman" w:hAnsi="Times New Roman" w:cs="Times New Roman"/>
              </w:rPr>
              <w:t>± 0.089</w:t>
            </w:r>
          </w:p>
        </w:tc>
        <w:tc>
          <w:tcPr>
            <w:tcW w:w="1376" w:type="dxa"/>
            <w:vAlign w:val="center"/>
          </w:tcPr>
          <w:p w:rsidR="00CC1FFF" w:rsidRPr="00C56486" w:rsidRDefault="00CC1FFF" w:rsidP="00DB1B8F">
            <w:pPr>
              <w:jc w:val="center"/>
              <w:rPr>
                <w:rFonts w:ascii="Times New Roman" w:hAnsi="Times New Roman" w:cs="Times New Roman"/>
              </w:rPr>
            </w:pPr>
            <w:r w:rsidRPr="00C56486">
              <w:rPr>
                <w:rFonts w:ascii="Times New Roman" w:hAnsi="Times New Roman" w:cs="Times New Roman"/>
              </w:rPr>
              <w:t>1.948</w:t>
            </w:r>
          </w:p>
          <w:p w:rsidR="00CC1FFF" w:rsidRPr="00C56486" w:rsidRDefault="00CC1FFF" w:rsidP="00DB1B8F">
            <w:pPr>
              <w:jc w:val="center"/>
              <w:rPr>
                <w:rFonts w:ascii="Times New Roman" w:hAnsi="Times New Roman" w:cs="Times New Roman"/>
              </w:rPr>
            </w:pPr>
            <w:r w:rsidRPr="00C56486">
              <w:rPr>
                <w:rFonts w:ascii="Times New Roman" w:hAnsi="Times New Roman" w:cs="Times New Roman"/>
              </w:rPr>
              <w:t>± 0.174</w:t>
            </w:r>
          </w:p>
        </w:tc>
      </w:tr>
      <w:tr w:rsidR="00CC1FFF" w:rsidTr="00DB1B8F">
        <w:tc>
          <w:tcPr>
            <w:tcW w:w="1375" w:type="dxa"/>
            <w:vAlign w:val="center"/>
          </w:tcPr>
          <w:p w:rsidR="00CC1FFF" w:rsidRPr="00C56486" w:rsidRDefault="00CC1FFF" w:rsidP="00DB1B8F">
            <w:pPr>
              <w:jc w:val="center"/>
              <w:rPr>
                <w:rFonts w:ascii="Times New Roman" w:hAnsi="Times New Roman" w:cs="Times New Roman"/>
              </w:rPr>
            </w:pPr>
            <w:r>
              <w:rPr>
                <w:rFonts w:ascii="Times New Roman" w:hAnsi="Times New Roman" w:cs="Times New Roman"/>
              </w:rPr>
              <w:t>Isopalmide</w:t>
            </w:r>
            <w:r w:rsidRPr="00CC1FFF">
              <w:rPr>
                <w:rFonts w:ascii="Times New Roman" w:hAnsi="Times New Roman" w:cs="Times New Roman"/>
                <w:vertAlign w:val="superscript"/>
              </w:rPr>
              <w:t>®</w:t>
            </w:r>
            <w:r w:rsidRPr="00C56486">
              <w:rPr>
                <w:rFonts w:ascii="Times New Roman" w:hAnsi="Times New Roman" w:cs="Times New Roman"/>
                <w:vertAlign w:val="superscript"/>
              </w:rPr>
              <w:t xml:space="preserve"> </w:t>
            </w:r>
            <w:r w:rsidRPr="00C56486">
              <w:rPr>
                <w:rFonts w:ascii="Times New Roman" w:hAnsi="Times New Roman" w:cs="Times New Roman"/>
              </w:rPr>
              <w:t>0,</w:t>
            </w:r>
            <w:r w:rsidR="00AF783C">
              <w:rPr>
                <w:rFonts w:ascii="Times New Roman" w:hAnsi="Times New Roman" w:cs="Times New Roman"/>
              </w:rPr>
              <w:t>1</w:t>
            </w:r>
            <w:r w:rsidRPr="00C56486">
              <w:rPr>
                <w:rFonts w:ascii="Times New Roman" w:hAnsi="Times New Roman" w:cs="Times New Roman"/>
              </w:rPr>
              <w:t>%</w:t>
            </w:r>
          </w:p>
        </w:tc>
        <w:tc>
          <w:tcPr>
            <w:tcW w:w="1375" w:type="dxa"/>
            <w:vAlign w:val="center"/>
          </w:tcPr>
          <w:p w:rsidR="00CC1FFF" w:rsidRPr="00CC1FFF" w:rsidRDefault="00CC1FFF" w:rsidP="00CC1FFF">
            <w:pPr>
              <w:jc w:val="center"/>
              <w:rPr>
                <w:rFonts w:ascii="Times New Roman" w:hAnsi="Times New Roman" w:cs="Times New Roman"/>
              </w:rPr>
            </w:pPr>
            <w:r w:rsidRPr="00CC1FFF">
              <w:rPr>
                <w:rFonts w:ascii="Times New Roman" w:hAnsi="Times New Roman" w:cs="Times New Roman"/>
              </w:rPr>
              <w:t>1.330</w:t>
            </w:r>
          </w:p>
          <w:p w:rsidR="00CC1FFF" w:rsidRPr="00C56486" w:rsidRDefault="00CC1FFF" w:rsidP="00CC1FFF">
            <w:pPr>
              <w:jc w:val="center"/>
              <w:rPr>
                <w:rFonts w:ascii="Times New Roman" w:hAnsi="Times New Roman" w:cs="Times New Roman"/>
              </w:rPr>
            </w:pPr>
            <w:r w:rsidRPr="00CC1FFF">
              <w:rPr>
                <w:rFonts w:ascii="Times New Roman" w:hAnsi="Times New Roman" w:cs="Times New Roman"/>
              </w:rPr>
              <w:t>± 0.219</w:t>
            </w:r>
          </w:p>
        </w:tc>
        <w:tc>
          <w:tcPr>
            <w:tcW w:w="1375" w:type="dxa"/>
            <w:vAlign w:val="center"/>
          </w:tcPr>
          <w:p w:rsidR="00CC1FFF" w:rsidRPr="00CC1FFF" w:rsidRDefault="00CC1FFF" w:rsidP="00CC1FFF">
            <w:pPr>
              <w:jc w:val="center"/>
              <w:rPr>
                <w:rFonts w:ascii="Times New Roman" w:hAnsi="Times New Roman" w:cs="Times New Roman"/>
              </w:rPr>
            </w:pPr>
            <w:r w:rsidRPr="00CC1FFF">
              <w:rPr>
                <w:rFonts w:ascii="Times New Roman" w:hAnsi="Times New Roman" w:cs="Times New Roman"/>
              </w:rPr>
              <w:t>0.938</w:t>
            </w:r>
          </w:p>
          <w:p w:rsidR="00CC1FFF" w:rsidRPr="00C56486" w:rsidRDefault="00CC1FFF" w:rsidP="00CC1FFF">
            <w:pPr>
              <w:jc w:val="center"/>
              <w:rPr>
                <w:rFonts w:ascii="Times New Roman" w:hAnsi="Times New Roman" w:cs="Times New Roman"/>
              </w:rPr>
            </w:pPr>
            <w:r w:rsidRPr="00CC1FFF">
              <w:rPr>
                <w:rFonts w:ascii="Times New Roman" w:hAnsi="Times New Roman" w:cs="Times New Roman"/>
              </w:rPr>
              <w:t>± 0.130</w:t>
            </w:r>
          </w:p>
        </w:tc>
        <w:tc>
          <w:tcPr>
            <w:tcW w:w="1375" w:type="dxa"/>
            <w:vAlign w:val="center"/>
          </w:tcPr>
          <w:p w:rsidR="00CC1FFF" w:rsidRPr="00CC1FFF" w:rsidRDefault="00CC1FFF" w:rsidP="00CC1FFF">
            <w:pPr>
              <w:jc w:val="center"/>
              <w:rPr>
                <w:rFonts w:ascii="Times New Roman" w:hAnsi="Times New Roman" w:cs="Times New Roman"/>
              </w:rPr>
            </w:pPr>
            <w:r w:rsidRPr="00CC1FFF">
              <w:rPr>
                <w:rFonts w:ascii="Times New Roman" w:hAnsi="Times New Roman" w:cs="Times New Roman"/>
              </w:rPr>
              <w:t>1.741</w:t>
            </w:r>
          </w:p>
          <w:p w:rsidR="00CC1FFF" w:rsidRPr="00C56486" w:rsidRDefault="00CC1FFF" w:rsidP="00CC1FFF">
            <w:pPr>
              <w:jc w:val="center"/>
              <w:rPr>
                <w:rFonts w:ascii="Times New Roman" w:hAnsi="Times New Roman" w:cs="Times New Roman"/>
              </w:rPr>
            </w:pPr>
            <w:r w:rsidRPr="00CC1FFF">
              <w:rPr>
                <w:rFonts w:ascii="Times New Roman" w:hAnsi="Times New Roman" w:cs="Times New Roman"/>
              </w:rPr>
              <w:t>± 0.796</w:t>
            </w:r>
          </w:p>
        </w:tc>
        <w:tc>
          <w:tcPr>
            <w:tcW w:w="1376" w:type="dxa"/>
            <w:vAlign w:val="center"/>
          </w:tcPr>
          <w:p w:rsidR="00CC1FFF" w:rsidRPr="00CC1FFF" w:rsidRDefault="00CC1FFF" w:rsidP="00CC1FFF">
            <w:pPr>
              <w:jc w:val="center"/>
              <w:rPr>
                <w:rFonts w:ascii="Times New Roman" w:hAnsi="Times New Roman" w:cs="Times New Roman"/>
              </w:rPr>
            </w:pPr>
            <w:r w:rsidRPr="00CC1FFF">
              <w:rPr>
                <w:rFonts w:ascii="Times New Roman" w:hAnsi="Times New Roman" w:cs="Times New Roman"/>
              </w:rPr>
              <w:t>1.353</w:t>
            </w:r>
          </w:p>
          <w:p w:rsidR="00CC1FFF" w:rsidRPr="00C56486" w:rsidRDefault="00CC1FFF" w:rsidP="00CC1FFF">
            <w:pPr>
              <w:jc w:val="center"/>
              <w:rPr>
                <w:rFonts w:ascii="Times New Roman" w:hAnsi="Times New Roman" w:cs="Times New Roman"/>
              </w:rPr>
            </w:pPr>
            <w:r w:rsidRPr="00CC1FFF">
              <w:rPr>
                <w:rFonts w:ascii="Times New Roman" w:hAnsi="Times New Roman" w:cs="Times New Roman"/>
              </w:rPr>
              <w:t>± 0.415</w:t>
            </w:r>
          </w:p>
        </w:tc>
        <w:tc>
          <w:tcPr>
            <w:tcW w:w="1376" w:type="dxa"/>
            <w:vAlign w:val="center"/>
          </w:tcPr>
          <w:p w:rsidR="00CC1FFF" w:rsidRPr="00CC1FFF" w:rsidRDefault="00CC1FFF" w:rsidP="00CC1FFF">
            <w:pPr>
              <w:jc w:val="center"/>
              <w:rPr>
                <w:rFonts w:ascii="Times New Roman" w:hAnsi="Times New Roman" w:cs="Times New Roman"/>
              </w:rPr>
            </w:pPr>
            <w:r w:rsidRPr="00CC1FFF">
              <w:rPr>
                <w:rFonts w:ascii="Times New Roman" w:hAnsi="Times New Roman" w:cs="Times New Roman"/>
              </w:rPr>
              <w:t>2.274</w:t>
            </w:r>
          </w:p>
          <w:p w:rsidR="00CC1FFF" w:rsidRPr="00C56486" w:rsidRDefault="00CC1FFF" w:rsidP="00CC1FFF">
            <w:pPr>
              <w:jc w:val="center"/>
              <w:rPr>
                <w:rFonts w:ascii="Times New Roman" w:hAnsi="Times New Roman" w:cs="Times New Roman"/>
              </w:rPr>
            </w:pPr>
            <w:r w:rsidRPr="00CC1FFF">
              <w:rPr>
                <w:rFonts w:ascii="Times New Roman" w:hAnsi="Times New Roman" w:cs="Times New Roman"/>
              </w:rPr>
              <w:t>± 0.787</w:t>
            </w:r>
          </w:p>
        </w:tc>
        <w:tc>
          <w:tcPr>
            <w:tcW w:w="1376" w:type="dxa"/>
            <w:vAlign w:val="center"/>
          </w:tcPr>
          <w:p w:rsidR="00CC1FFF" w:rsidRPr="00CC1FFF" w:rsidRDefault="00CC1FFF" w:rsidP="00CC1FFF">
            <w:pPr>
              <w:jc w:val="center"/>
              <w:rPr>
                <w:rFonts w:ascii="Times New Roman" w:hAnsi="Times New Roman" w:cs="Times New Roman"/>
              </w:rPr>
            </w:pPr>
            <w:r w:rsidRPr="00CC1FFF">
              <w:rPr>
                <w:rFonts w:ascii="Times New Roman" w:hAnsi="Times New Roman" w:cs="Times New Roman"/>
              </w:rPr>
              <w:t>2.074</w:t>
            </w:r>
          </w:p>
          <w:p w:rsidR="00CC1FFF" w:rsidRPr="00CC1FFF" w:rsidRDefault="00CC1FFF" w:rsidP="00CC1FFF">
            <w:pPr>
              <w:jc w:val="center"/>
              <w:rPr>
                <w:rFonts w:ascii="Times New Roman" w:hAnsi="Times New Roman" w:cs="Times New Roman"/>
              </w:rPr>
            </w:pPr>
            <w:r w:rsidRPr="00CC1FFF">
              <w:rPr>
                <w:rFonts w:ascii="Times New Roman" w:hAnsi="Times New Roman" w:cs="Times New Roman"/>
              </w:rPr>
              <w:t>± 0.198</w:t>
            </w:r>
          </w:p>
        </w:tc>
      </w:tr>
    </w:tbl>
    <w:p w:rsidR="00CC1FFF" w:rsidRDefault="00CC1FFF" w:rsidP="00B00873">
      <w:pPr>
        <w:jc w:val="both"/>
        <w:rPr>
          <w:rFonts w:ascii="Times New Roman" w:hAnsi="Times New Roman" w:cs="Times New Roman"/>
          <w:lang w:val="en-US"/>
        </w:rPr>
      </w:pPr>
    </w:p>
    <w:p w:rsidR="00B00873" w:rsidRPr="00B00873" w:rsidRDefault="00B00873" w:rsidP="00B00873">
      <w:pPr>
        <w:jc w:val="both"/>
        <w:rPr>
          <w:rFonts w:ascii="Times New Roman" w:hAnsi="Times New Roman" w:cs="Times New Roman"/>
          <w:lang w:val="en-US"/>
        </w:rPr>
      </w:pPr>
      <w:r w:rsidRPr="00B00873">
        <w:rPr>
          <w:rFonts w:ascii="Times New Roman" w:hAnsi="Times New Roman" w:cs="Times New Roman"/>
          <w:lang w:val="en-US"/>
        </w:rPr>
        <w:t xml:space="preserve">Table 4: miRNA and RNA gene expression after irradiation and treatment with </w:t>
      </w:r>
      <w:proofErr w:type="spellStart"/>
      <w:r w:rsidRPr="00B00873">
        <w:rPr>
          <w:rFonts w:ascii="Times New Roman" w:hAnsi="Times New Roman" w:cs="Times New Roman"/>
          <w:lang w:val="en-US"/>
        </w:rPr>
        <w:t>Isopalmide</w:t>
      </w:r>
      <w:proofErr w:type="spellEnd"/>
      <w:r w:rsidRPr="00060EF3">
        <w:rPr>
          <w:rFonts w:ascii="Times New Roman" w:hAnsi="Times New Roman" w:cs="Times New Roman"/>
          <w:vertAlign w:val="superscript"/>
          <w:lang w:val="en-US"/>
        </w:rPr>
        <w:t>®</w:t>
      </w:r>
      <w:r w:rsidRPr="00B00873">
        <w:rPr>
          <w:rFonts w:ascii="Times New Roman" w:hAnsi="Times New Roman" w:cs="Times New Roman"/>
          <w:lang w:val="en-US"/>
        </w:rPr>
        <w:t xml:space="preserve"> 0,5%</w:t>
      </w:r>
    </w:p>
    <w:p w:rsidR="00B00873" w:rsidRDefault="00B00873" w:rsidP="00B00873">
      <w:pPr>
        <w:jc w:val="both"/>
        <w:rPr>
          <w:rFonts w:ascii="Times New Roman" w:hAnsi="Times New Roman" w:cs="Times New Roman"/>
          <w:lang w:val="en-US"/>
        </w:rPr>
      </w:pPr>
      <w:r w:rsidRPr="00B00873">
        <w:rPr>
          <w:rFonts w:ascii="Times New Roman" w:hAnsi="Times New Roman" w:cs="Times New Roman"/>
          <w:lang w:val="en-US"/>
        </w:rPr>
        <w:t>Legend: RQ=1 Negative control, RQ ≤ 0,5 significant downregulation, RQ ≥ 2 significant upregulation.</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AF783C" w:rsidRPr="00C80F1C" w:rsidTr="00DB1B8F">
        <w:tc>
          <w:tcPr>
            <w:tcW w:w="1375" w:type="dxa"/>
          </w:tcPr>
          <w:p w:rsidR="00AF783C" w:rsidRDefault="00AF783C" w:rsidP="00DB1B8F">
            <w:pPr>
              <w:jc w:val="both"/>
              <w:rPr>
                <w:rFonts w:ascii="Times New Roman" w:hAnsi="Times New Roman" w:cs="Times New Roman"/>
                <w:lang w:val="en-US"/>
              </w:rPr>
            </w:pPr>
          </w:p>
        </w:tc>
        <w:tc>
          <w:tcPr>
            <w:tcW w:w="1375" w:type="dxa"/>
            <w:vAlign w:val="center"/>
          </w:tcPr>
          <w:p w:rsidR="00AF783C" w:rsidRPr="00C80F1C" w:rsidRDefault="00AF783C" w:rsidP="00DB1B8F">
            <w:pPr>
              <w:jc w:val="center"/>
              <w:rPr>
                <w:rFonts w:ascii="Times New Roman" w:hAnsi="Times New Roman" w:cs="Times New Roman"/>
              </w:rPr>
            </w:pPr>
            <w:r w:rsidRPr="00C56486">
              <w:rPr>
                <w:rFonts w:ascii="Times New Roman" w:hAnsi="Times New Roman" w:cs="Times New Roman"/>
                <w:b/>
                <w:bCs/>
              </w:rPr>
              <w:t>miR-126</w:t>
            </w:r>
          </w:p>
        </w:tc>
        <w:tc>
          <w:tcPr>
            <w:tcW w:w="1375" w:type="dxa"/>
            <w:vAlign w:val="center"/>
          </w:tcPr>
          <w:p w:rsidR="00AF783C" w:rsidRPr="00C80F1C" w:rsidRDefault="00AF783C" w:rsidP="00DB1B8F">
            <w:pPr>
              <w:jc w:val="center"/>
              <w:rPr>
                <w:rFonts w:ascii="Times New Roman" w:hAnsi="Times New Roman" w:cs="Times New Roman"/>
              </w:rPr>
            </w:pPr>
            <w:r w:rsidRPr="00C56486">
              <w:rPr>
                <w:rFonts w:ascii="Times New Roman" w:hAnsi="Times New Roman" w:cs="Times New Roman"/>
                <w:b/>
                <w:bCs/>
              </w:rPr>
              <w:t>miR-146a</w:t>
            </w:r>
          </w:p>
        </w:tc>
        <w:tc>
          <w:tcPr>
            <w:tcW w:w="1375" w:type="dxa"/>
            <w:vAlign w:val="center"/>
          </w:tcPr>
          <w:p w:rsidR="00AF783C" w:rsidRPr="00C80F1C" w:rsidRDefault="00AF783C" w:rsidP="00DB1B8F">
            <w:pPr>
              <w:jc w:val="center"/>
              <w:rPr>
                <w:rFonts w:ascii="Times New Roman" w:hAnsi="Times New Roman" w:cs="Times New Roman"/>
              </w:rPr>
            </w:pPr>
            <w:r w:rsidRPr="00C56486">
              <w:rPr>
                <w:rFonts w:ascii="Times New Roman" w:hAnsi="Times New Roman" w:cs="Times New Roman"/>
                <w:b/>
                <w:bCs/>
              </w:rPr>
              <w:t>miR-21</w:t>
            </w:r>
          </w:p>
        </w:tc>
        <w:tc>
          <w:tcPr>
            <w:tcW w:w="1376" w:type="dxa"/>
            <w:vAlign w:val="center"/>
          </w:tcPr>
          <w:p w:rsidR="00AF783C" w:rsidRPr="00C80F1C" w:rsidRDefault="00AF783C" w:rsidP="00DB1B8F">
            <w:pPr>
              <w:jc w:val="center"/>
              <w:rPr>
                <w:rFonts w:ascii="Times New Roman" w:hAnsi="Times New Roman" w:cs="Times New Roman"/>
              </w:rPr>
            </w:pPr>
            <w:r w:rsidRPr="00C56486">
              <w:rPr>
                <w:rFonts w:ascii="Times New Roman" w:hAnsi="Times New Roman" w:cs="Times New Roman"/>
                <w:b/>
                <w:bCs/>
              </w:rPr>
              <w:t>CHUK</w:t>
            </w:r>
          </w:p>
        </w:tc>
        <w:tc>
          <w:tcPr>
            <w:tcW w:w="1376" w:type="dxa"/>
            <w:vAlign w:val="center"/>
          </w:tcPr>
          <w:p w:rsidR="00AF783C" w:rsidRPr="00C80F1C" w:rsidRDefault="00AF783C" w:rsidP="00DB1B8F">
            <w:pPr>
              <w:jc w:val="center"/>
              <w:rPr>
                <w:rFonts w:ascii="Times New Roman" w:hAnsi="Times New Roman" w:cs="Times New Roman"/>
              </w:rPr>
            </w:pPr>
            <w:r w:rsidRPr="00C56486">
              <w:rPr>
                <w:rFonts w:ascii="Times New Roman" w:hAnsi="Times New Roman" w:cs="Times New Roman"/>
                <w:b/>
                <w:bCs/>
              </w:rPr>
              <w:t>IKBKG</w:t>
            </w:r>
          </w:p>
        </w:tc>
        <w:tc>
          <w:tcPr>
            <w:tcW w:w="1376" w:type="dxa"/>
            <w:vAlign w:val="center"/>
          </w:tcPr>
          <w:p w:rsidR="00AF783C" w:rsidRPr="00C80F1C" w:rsidRDefault="00AF783C" w:rsidP="00DB1B8F">
            <w:pPr>
              <w:jc w:val="center"/>
              <w:rPr>
                <w:rFonts w:ascii="Times New Roman" w:hAnsi="Times New Roman" w:cs="Times New Roman"/>
              </w:rPr>
            </w:pPr>
            <w:r w:rsidRPr="00C56486">
              <w:rPr>
                <w:rFonts w:ascii="Times New Roman" w:hAnsi="Times New Roman" w:cs="Times New Roman"/>
                <w:b/>
                <w:bCs/>
              </w:rPr>
              <w:t>NFKB1</w:t>
            </w:r>
          </w:p>
        </w:tc>
      </w:tr>
      <w:tr w:rsidR="00AF783C" w:rsidRPr="00C56486" w:rsidTr="00DB1B8F">
        <w:tc>
          <w:tcPr>
            <w:tcW w:w="1375" w:type="dxa"/>
            <w:vAlign w:val="center"/>
          </w:tcPr>
          <w:p w:rsidR="00AF783C" w:rsidRPr="00C56486" w:rsidRDefault="00AF783C" w:rsidP="00DB1B8F">
            <w:pPr>
              <w:jc w:val="center"/>
              <w:rPr>
                <w:rFonts w:ascii="Times New Roman" w:hAnsi="Times New Roman" w:cs="Times New Roman"/>
              </w:rPr>
            </w:pPr>
            <w:r w:rsidRPr="00C56486">
              <w:rPr>
                <w:rFonts w:ascii="Times New Roman" w:hAnsi="Times New Roman" w:cs="Times New Roman"/>
              </w:rPr>
              <w:t>UVA</w:t>
            </w:r>
          </w:p>
        </w:tc>
        <w:tc>
          <w:tcPr>
            <w:tcW w:w="1375" w:type="dxa"/>
            <w:vAlign w:val="center"/>
          </w:tcPr>
          <w:p w:rsidR="00AF783C" w:rsidRPr="00C56486" w:rsidRDefault="00AF783C" w:rsidP="00DB1B8F">
            <w:pPr>
              <w:jc w:val="center"/>
              <w:rPr>
                <w:rFonts w:ascii="Times New Roman" w:hAnsi="Times New Roman" w:cs="Times New Roman"/>
              </w:rPr>
            </w:pPr>
            <w:r w:rsidRPr="00C56486">
              <w:rPr>
                <w:rFonts w:ascii="Times New Roman" w:hAnsi="Times New Roman" w:cs="Times New Roman"/>
              </w:rPr>
              <w:t>2.171</w:t>
            </w:r>
          </w:p>
          <w:p w:rsidR="00AF783C" w:rsidRPr="00C56486" w:rsidRDefault="00AF783C" w:rsidP="00DB1B8F">
            <w:pPr>
              <w:jc w:val="center"/>
              <w:rPr>
                <w:rFonts w:ascii="Times New Roman" w:hAnsi="Times New Roman" w:cs="Times New Roman"/>
              </w:rPr>
            </w:pPr>
            <w:r w:rsidRPr="00C56486">
              <w:rPr>
                <w:rFonts w:ascii="Times New Roman" w:hAnsi="Times New Roman" w:cs="Times New Roman"/>
              </w:rPr>
              <w:t>± 0.000</w:t>
            </w:r>
          </w:p>
        </w:tc>
        <w:tc>
          <w:tcPr>
            <w:tcW w:w="1375" w:type="dxa"/>
            <w:vAlign w:val="center"/>
          </w:tcPr>
          <w:p w:rsidR="00AF783C" w:rsidRPr="00C56486" w:rsidRDefault="00AF783C" w:rsidP="00DB1B8F">
            <w:pPr>
              <w:jc w:val="center"/>
              <w:rPr>
                <w:rFonts w:ascii="Times New Roman" w:hAnsi="Times New Roman" w:cs="Times New Roman"/>
              </w:rPr>
            </w:pPr>
            <w:r w:rsidRPr="00C56486">
              <w:rPr>
                <w:rFonts w:ascii="Times New Roman" w:hAnsi="Times New Roman" w:cs="Times New Roman"/>
              </w:rPr>
              <w:t>1.518</w:t>
            </w:r>
          </w:p>
          <w:p w:rsidR="00AF783C" w:rsidRPr="00C56486" w:rsidRDefault="00AF783C" w:rsidP="00DB1B8F">
            <w:pPr>
              <w:jc w:val="center"/>
              <w:rPr>
                <w:rFonts w:ascii="Times New Roman" w:hAnsi="Times New Roman" w:cs="Times New Roman"/>
              </w:rPr>
            </w:pPr>
            <w:r w:rsidRPr="00C56486">
              <w:rPr>
                <w:rFonts w:ascii="Times New Roman" w:hAnsi="Times New Roman" w:cs="Times New Roman"/>
              </w:rPr>
              <w:t>± 0.000</w:t>
            </w:r>
          </w:p>
        </w:tc>
        <w:tc>
          <w:tcPr>
            <w:tcW w:w="1375" w:type="dxa"/>
            <w:vAlign w:val="center"/>
          </w:tcPr>
          <w:p w:rsidR="00AF783C" w:rsidRPr="00C56486" w:rsidRDefault="00AF783C" w:rsidP="00DB1B8F">
            <w:pPr>
              <w:jc w:val="center"/>
              <w:rPr>
                <w:rFonts w:ascii="Times New Roman" w:hAnsi="Times New Roman" w:cs="Times New Roman"/>
              </w:rPr>
            </w:pPr>
            <w:r w:rsidRPr="00C56486">
              <w:rPr>
                <w:rFonts w:ascii="Times New Roman" w:hAnsi="Times New Roman" w:cs="Times New Roman"/>
              </w:rPr>
              <w:t>4.118</w:t>
            </w:r>
          </w:p>
          <w:p w:rsidR="00AF783C" w:rsidRPr="00C56486" w:rsidRDefault="00AF783C" w:rsidP="00DB1B8F">
            <w:pPr>
              <w:jc w:val="center"/>
              <w:rPr>
                <w:rFonts w:ascii="Times New Roman" w:hAnsi="Times New Roman" w:cs="Times New Roman"/>
              </w:rPr>
            </w:pPr>
            <w:r w:rsidRPr="00C56486">
              <w:rPr>
                <w:rFonts w:ascii="Times New Roman" w:hAnsi="Times New Roman" w:cs="Times New Roman"/>
              </w:rPr>
              <w:t>± 0.000</w:t>
            </w:r>
          </w:p>
        </w:tc>
        <w:tc>
          <w:tcPr>
            <w:tcW w:w="1376" w:type="dxa"/>
            <w:vAlign w:val="center"/>
          </w:tcPr>
          <w:p w:rsidR="00AF783C" w:rsidRPr="00C56486" w:rsidRDefault="00AF783C" w:rsidP="00DB1B8F">
            <w:pPr>
              <w:jc w:val="center"/>
              <w:rPr>
                <w:rFonts w:ascii="Times New Roman" w:hAnsi="Times New Roman" w:cs="Times New Roman"/>
              </w:rPr>
            </w:pPr>
            <w:r w:rsidRPr="00C56486">
              <w:rPr>
                <w:rFonts w:ascii="Times New Roman" w:hAnsi="Times New Roman" w:cs="Times New Roman"/>
              </w:rPr>
              <w:t>1.206</w:t>
            </w:r>
          </w:p>
          <w:p w:rsidR="00AF783C" w:rsidRPr="00C56486" w:rsidRDefault="00AF783C" w:rsidP="00DB1B8F">
            <w:pPr>
              <w:jc w:val="center"/>
              <w:rPr>
                <w:rFonts w:ascii="Times New Roman" w:hAnsi="Times New Roman" w:cs="Times New Roman"/>
              </w:rPr>
            </w:pPr>
            <w:r w:rsidRPr="00C56486">
              <w:rPr>
                <w:rFonts w:ascii="Times New Roman" w:hAnsi="Times New Roman" w:cs="Times New Roman"/>
              </w:rPr>
              <w:t>± 0.524</w:t>
            </w:r>
          </w:p>
        </w:tc>
        <w:tc>
          <w:tcPr>
            <w:tcW w:w="1376" w:type="dxa"/>
            <w:vAlign w:val="center"/>
          </w:tcPr>
          <w:p w:rsidR="00AF783C" w:rsidRPr="00C56486" w:rsidRDefault="00AF783C" w:rsidP="00DB1B8F">
            <w:pPr>
              <w:jc w:val="center"/>
              <w:rPr>
                <w:rFonts w:ascii="Times New Roman" w:hAnsi="Times New Roman" w:cs="Times New Roman"/>
              </w:rPr>
            </w:pPr>
            <w:r w:rsidRPr="00C56486">
              <w:rPr>
                <w:rFonts w:ascii="Times New Roman" w:hAnsi="Times New Roman" w:cs="Times New Roman"/>
              </w:rPr>
              <w:t>1.687</w:t>
            </w:r>
          </w:p>
          <w:p w:rsidR="00AF783C" w:rsidRPr="00C56486" w:rsidRDefault="00AF783C" w:rsidP="00DB1B8F">
            <w:pPr>
              <w:jc w:val="center"/>
              <w:rPr>
                <w:rFonts w:ascii="Times New Roman" w:hAnsi="Times New Roman" w:cs="Times New Roman"/>
              </w:rPr>
            </w:pPr>
            <w:r w:rsidRPr="00C56486">
              <w:rPr>
                <w:rFonts w:ascii="Times New Roman" w:hAnsi="Times New Roman" w:cs="Times New Roman"/>
              </w:rPr>
              <w:t>± 0.089</w:t>
            </w:r>
          </w:p>
        </w:tc>
        <w:tc>
          <w:tcPr>
            <w:tcW w:w="1376" w:type="dxa"/>
            <w:vAlign w:val="center"/>
          </w:tcPr>
          <w:p w:rsidR="00AF783C" w:rsidRPr="00C56486" w:rsidRDefault="00AF783C" w:rsidP="00DB1B8F">
            <w:pPr>
              <w:jc w:val="center"/>
              <w:rPr>
                <w:rFonts w:ascii="Times New Roman" w:hAnsi="Times New Roman" w:cs="Times New Roman"/>
              </w:rPr>
            </w:pPr>
            <w:r w:rsidRPr="00C56486">
              <w:rPr>
                <w:rFonts w:ascii="Times New Roman" w:hAnsi="Times New Roman" w:cs="Times New Roman"/>
              </w:rPr>
              <w:t>1.948</w:t>
            </w:r>
          </w:p>
          <w:p w:rsidR="00AF783C" w:rsidRPr="00C56486" w:rsidRDefault="00AF783C" w:rsidP="00DB1B8F">
            <w:pPr>
              <w:jc w:val="center"/>
              <w:rPr>
                <w:rFonts w:ascii="Times New Roman" w:hAnsi="Times New Roman" w:cs="Times New Roman"/>
              </w:rPr>
            </w:pPr>
            <w:r w:rsidRPr="00C56486">
              <w:rPr>
                <w:rFonts w:ascii="Times New Roman" w:hAnsi="Times New Roman" w:cs="Times New Roman"/>
              </w:rPr>
              <w:t>± 0.174</w:t>
            </w:r>
          </w:p>
        </w:tc>
      </w:tr>
      <w:tr w:rsidR="00AF783C" w:rsidRPr="00CC1FFF" w:rsidTr="00DB1B8F">
        <w:tc>
          <w:tcPr>
            <w:tcW w:w="1375" w:type="dxa"/>
            <w:vAlign w:val="center"/>
          </w:tcPr>
          <w:p w:rsidR="00AF783C" w:rsidRPr="00C56486" w:rsidRDefault="00AF783C" w:rsidP="00DB1B8F">
            <w:pPr>
              <w:jc w:val="center"/>
              <w:rPr>
                <w:rFonts w:ascii="Times New Roman" w:hAnsi="Times New Roman" w:cs="Times New Roman"/>
              </w:rPr>
            </w:pPr>
            <w:r>
              <w:rPr>
                <w:rFonts w:ascii="Times New Roman" w:hAnsi="Times New Roman" w:cs="Times New Roman"/>
              </w:rPr>
              <w:t>Isopalmide</w:t>
            </w:r>
            <w:r w:rsidRPr="00CC1FFF">
              <w:rPr>
                <w:rFonts w:ascii="Times New Roman" w:hAnsi="Times New Roman" w:cs="Times New Roman"/>
                <w:vertAlign w:val="superscript"/>
              </w:rPr>
              <w:t>®</w:t>
            </w:r>
            <w:r w:rsidRPr="00C56486">
              <w:rPr>
                <w:rFonts w:ascii="Times New Roman" w:hAnsi="Times New Roman" w:cs="Times New Roman"/>
                <w:vertAlign w:val="superscript"/>
              </w:rPr>
              <w:t xml:space="preserve"> </w:t>
            </w:r>
            <w:r w:rsidRPr="00C56486">
              <w:rPr>
                <w:rFonts w:ascii="Times New Roman" w:hAnsi="Times New Roman" w:cs="Times New Roman"/>
              </w:rPr>
              <w:t>0,</w:t>
            </w:r>
            <w:r>
              <w:rPr>
                <w:rFonts w:ascii="Times New Roman" w:hAnsi="Times New Roman" w:cs="Times New Roman"/>
              </w:rPr>
              <w:t>5</w:t>
            </w:r>
            <w:r w:rsidRPr="00C56486">
              <w:rPr>
                <w:rFonts w:ascii="Times New Roman" w:hAnsi="Times New Roman" w:cs="Times New Roman"/>
              </w:rPr>
              <w:t>%</w:t>
            </w:r>
          </w:p>
        </w:tc>
        <w:tc>
          <w:tcPr>
            <w:tcW w:w="1375" w:type="dxa"/>
            <w:vAlign w:val="center"/>
          </w:tcPr>
          <w:p w:rsidR="00AF783C" w:rsidRPr="00AF783C" w:rsidRDefault="00AF783C" w:rsidP="00AF783C">
            <w:pPr>
              <w:jc w:val="center"/>
              <w:rPr>
                <w:rFonts w:ascii="Times New Roman" w:hAnsi="Times New Roman" w:cs="Times New Roman"/>
              </w:rPr>
            </w:pPr>
            <w:r w:rsidRPr="00AF783C">
              <w:rPr>
                <w:rFonts w:ascii="Times New Roman" w:hAnsi="Times New Roman" w:cs="Times New Roman"/>
              </w:rPr>
              <w:t>1.690</w:t>
            </w:r>
          </w:p>
          <w:p w:rsidR="00AF783C" w:rsidRPr="00C56486" w:rsidRDefault="00AF783C" w:rsidP="00AF783C">
            <w:pPr>
              <w:jc w:val="center"/>
              <w:rPr>
                <w:rFonts w:ascii="Times New Roman" w:hAnsi="Times New Roman" w:cs="Times New Roman"/>
              </w:rPr>
            </w:pPr>
            <w:r w:rsidRPr="00AF783C">
              <w:rPr>
                <w:rFonts w:ascii="Times New Roman" w:hAnsi="Times New Roman" w:cs="Times New Roman"/>
              </w:rPr>
              <w:t>± 0.231</w:t>
            </w:r>
          </w:p>
        </w:tc>
        <w:tc>
          <w:tcPr>
            <w:tcW w:w="1375" w:type="dxa"/>
            <w:vAlign w:val="center"/>
          </w:tcPr>
          <w:p w:rsidR="00AF783C" w:rsidRPr="00AF783C" w:rsidRDefault="00AF783C" w:rsidP="00AF783C">
            <w:pPr>
              <w:jc w:val="center"/>
              <w:rPr>
                <w:rFonts w:ascii="Times New Roman" w:hAnsi="Times New Roman" w:cs="Times New Roman"/>
              </w:rPr>
            </w:pPr>
            <w:r w:rsidRPr="00AF783C">
              <w:rPr>
                <w:rFonts w:ascii="Times New Roman" w:hAnsi="Times New Roman" w:cs="Times New Roman"/>
              </w:rPr>
              <w:t>1.331</w:t>
            </w:r>
          </w:p>
          <w:p w:rsidR="00AF783C" w:rsidRPr="00C56486" w:rsidRDefault="00AF783C" w:rsidP="00AF783C">
            <w:pPr>
              <w:jc w:val="center"/>
              <w:rPr>
                <w:rFonts w:ascii="Times New Roman" w:hAnsi="Times New Roman" w:cs="Times New Roman"/>
              </w:rPr>
            </w:pPr>
            <w:r w:rsidRPr="00AF783C">
              <w:rPr>
                <w:rFonts w:ascii="Times New Roman" w:hAnsi="Times New Roman" w:cs="Times New Roman"/>
              </w:rPr>
              <w:t>± 0.222</w:t>
            </w:r>
          </w:p>
        </w:tc>
        <w:tc>
          <w:tcPr>
            <w:tcW w:w="1375" w:type="dxa"/>
            <w:vAlign w:val="center"/>
          </w:tcPr>
          <w:p w:rsidR="00AF783C" w:rsidRPr="00AF783C" w:rsidRDefault="00AF783C" w:rsidP="00AF783C">
            <w:pPr>
              <w:jc w:val="center"/>
              <w:rPr>
                <w:rFonts w:ascii="Times New Roman" w:hAnsi="Times New Roman" w:cs="Times New Roman"/>
              </w:rPr>
            </w:pPr>
            <w:r w:rsidRPr="00AF783C">
              <w:rPr>
                <w:rFonts w:ascii="Times New Roman" w:hAnsi="Times New Roman" w:cs="Times New Roman"/>
              </w:rPr>
              <w:t>1.856</w:t>
            </w:r>
          </w:p>
          <w:p w:rsidR="00AF783C" w:rsidRPr="00C56486" w:rsidRDefault="00AF783C" w:rsidP="00AF783C">
            <w:pPr>
              <w:jc w:val="center"/>
              <w:rPr>
                <w:rFonts w:ascii="Times New Roman" w:hAnsi="Times New Roman" w:cs="Times New Roman"/>
              </w:rPr>
            </w:pPr>
            <w:r w:rsidRPr="00AF783C">
              <w:rPr>
                <w:rFonts w:ascii="Times New Roman" w:hAnsi="Times New Roman" w:cs="Times New Roman"/>
              </w:rPr>
              <w:t>± 0.152</w:t>
            </w:r>
          </w:p>
        </w:tc>
        <w:tc>
          <w:tcPr>
            <w:tcW w:w="1376" w:type="dxa"/>
            <w:vAlign w:val="center"/>
          </w:tcPr>
          <w:p w:rsidR="00AF783C" w:rsidRPr="00AF783C" w:rsidRDefault="00AF783C" w:rsidP="00AF783C">
            <w:pPr>
              <w:jc w:val="center"/>
              <w:rPr>
                <w:rFonts w:ascii="Times New Roman" w:hAnsi="Times New Roman" w:cs="Times New Roman"/>
              </w:rPr>
            </w:pPr>
            <w:r w:rsidRPr="00AF783C">
              <w:rPr>
                <w:rFonts w:ascii="Times New Roman" w:hAnsi="Times New Roman" w:cs="Times New Roman"/>
              </w:rPr>
              <w:t>1.897</w:t>
            </w:r>
          </w:p>
          <w:p w:rsidR="00AF783C" w:rsidRPr="00C56486" w:rsidRDefault="00AF783C" w:rsidP="00AF783C">
            <w:pPr>
              <w:jc w:val="center"/>
              <w:rPr>
                <w:rFonts w:ascii="Times New Roman" w:hAnsi="Times New Roman" w:cs="Times New Roman"/>
              </w:rPr>
            </w:pPr>
            <w:r w:rsidRPr="00AF783C">
              <w:rPr>
                <w:rFonts w:ascii="Times New Roman" w:hAnsi="Times New Roman" w:cs="Times New Roman"/>
              </w:rPr>
              <w:t>± 0.487</w:t>
            </w:r>
          </w:p>
        </w:tc>
        <w:tc>
          <w:tcPr>
            <w:tcW w:w="1376" w:type="dxa"/>
            <w:vAlign w:val="center"/>
          </w:tcPr>
          <w:p w:rsidR="00AF783C" w:rsidRPr="00AF783C" w:rsidRDefault="00AF783C" w:rsidP="00AF783C">
            <w:pPr>
              <w:jc w:val="center"/>
              <w:rPr>
                <w:rFonts w:ascii="Times New Roman" w:hAnsi="Times New Roman" w:cs="Times New Roman"/>
              </w:rPr>
            </w:pPr>
            <w:r w:rsidRPr="00AF783C">
              <w:rPr>
                <w:rFonts w:ascii="Times New Roman" w:hAnsi="Times New Roman" w:cs="Times New Roman"/>
              </w:rPr>
              <w:t>1.947</w:t>
            </w:r>
          </w:p>
          <w:p w:rsidR="00AF783C" w:rsidRPr="00C56486" w:rsidRDefault="00AF783C" w:rsidP="00AF783C">
            <w:pPr>
              <w:jc w:val="center"/>
              <w:rPr>
                <w:rFonts w:ascii="Times New Roman" w:hAnsi="Times New Roman" w:cs="Times New Roman"/>
              </w:rPr>
            </w:pPr>
            <w:r w:rsidRPr="00AF783C">
              <w:rPr>
                <w:rFonts w:ascii="Times New Roman" w:hAnsi="Times New Roman" w:cs="Times New Roman"/>
              </w:rPr>
              <w:t>± 0.156</w:t>
            </w:r>
          </w:p>
        </w:tc>
        <w:tc>
          <w:tcPr>
            <w:tcW w:w="1376" w:type="dxa"/>
            <w:vAlign w:val="center"/>
          </w:tcPr>
          <w:p w:rsidR="00AF783C" w:rsidRPr="00AF783C" w:rsidRDefault="00AF783C" w:rsidP="00AF783C">
            <w:pPr>
              <w:jc w:val="center"/>
              <w:rPr>
                <w:rFonts w:ascii="Times New Roman" w:hAnsi="Times New Roman" w:cs="Times New Roman"/>
              </w:rPr>
            </w:pPr>
            <w:r w:rsidRPr="00AF783C">
              <w:rPr>
                <w:rFonts w:ascii="Times New Roman" w:hAnsi="Times New Roman" w:cs="Times New Roman"/>
              </w:rPr>
              <w:t>1.960</w:t>
            </w:r>
          </w:p>
          <w:p w:rsidR="00AF783C" w:rsidRPr="00CC1FFF" w:rsidRDefault="00AF783C" w:rsidP="00AF783C">
            <w:pPr>
              <w:jc w:val="center"/>
              <w:rPr>
                <w:rFonts w:ascii="Times New Roman" w:hAnsi="Times New Roman" w:cs="Times New Roman"/>
              </w:rPr>
            </w:pPr>
            <w:r w:rsidRPr="00AF783C">
              <w:rPr>
                <w:rFonts w:ascii="Times New Roman" w:hAnsi="Times New Roman" w:cs="Times New Roman"/>
              </w:rPr>
              <w:t>± 0.229</w:t>
            </w:r>
          </w:p>
        </w:tc>
      </w:tr>
    </w:tbl>
    <w:p w:rsidR="00AE3195" w:rsidRDefault="00AE3195" w:rsidP="00B00873">
      <w:pPr>
        <w:jc w:val="both"/>
        <w:rPr>
          <w:rFonts w:ascii="Times New Roman" w:hAnsi="Times New Roman" w:cs="Times New Roman"/>
          <w:lang w:val="en-US"/>
        </w:rPr>
      </w:pPr>
    </w:p>
    <w:p w:rsidR="00B00873" w:rsidRPr="00B00873" w:rsidRDefault="00B00873" w:rsidP="00B00873">
      <w:pPr>
        <w:jc w:val="both"/>
        <w:rPr>
          <w:rFonts w:ascii="Times New Roman" w:hAnsi="Times New Roman" w:cs="Times New Roman"/>
          <w:lang w:val="en-US"/>
        </w:rPr>
      </w:pPr>
      <w:r w:rsidRPr="00B00873">
        <w:rPr>
          <w:rFonts w:ascii="Times New Roman" w:hAnsi="Times New Roman" w:cs="Times New Roman"/>
          <w:lang w:val="en-US"/>
        </w:rPr>
        <w:t xml:space="preserve">Table 5: miRNA and RNA gene expression after irradiation and treatment with </w:t>
      </w:r>
      <w:proofErr w:type="spellStart"/>
      <w:r w:rsidRPr="00B00873">
        <w:rPr>
          <w:rFonts w:ascii="Times New Roman" w:hAnsi="Times New Roman" w:cs="Times New Roman"/>
          <w:lang w:val="en-US"/>
        </w:rPr>
        <w:t>Ceramage</w:t>
      </w:r>
      <w:proofErr w:type="spellEnd"/>
      <w:r w:rsidRPr="00060EF3">
        <w:rPr>
          <w:rFonts w:ascii="Times New Roman" w:hAnsi="Times New Roman" w:cs="Times New Roman"/>
          <w:vertAlign w:val="superscript"/>
          <w:lang w:val="en-US"/>
        </w:rPr>
        <w:t>®</w:t>
      </w:r>
      <w:r w:rsidRPr="00B00873">
        <w:rPr>
          <w:rFonts w:ascii="Times New Roman" w:hAnsi="Times New Roman" w:cs="Times New Roman"/>
          <w:lang w:val="en-US"/>
        </w:rPr>
        <w:t xml:space="preserve"> Fluid </w:t>
      </w:r>
    </w:p>
    <w:p w:rsidR="00B00873" w:rsidRPr="00B00873" w:rsidRDefault="00B00873" w:rsidP="00B00873">
      <w:pPr>
        <w:jc w:val="both"/>
        <w:rPr>
          <w:rFonts w:ascii="Times New Roman" w:hAnsi="Times New Roman" w:cs="Times New Roman"/>
          <w:lang w:val="en-US"/>
        </w:rPr>
      </w:pPr>
      <w:r w:rsidRPr="00B00873">
        <w:rPr>
          <w:rFonts w:ascii="Times New Roman" w:hAnsi="Times New Roman" w:cs="Times New Roman"/>
          <w:lang w:val="en-US"/>
        </w:rPr>
        <w:t>Concentrate.</w:t>
      </w:r>
    </w:p>
    <w:p w:rsidR="00B00873" w:rsidRPr="0014792C" w:rsidRDefault="00B00873" w:rsidP="00B00873">
      <w:pPr>
        <w:jc w:val="both"/>
        <w:rPr>
          <w:rFonts w:ascii="Times New Roman" w:hAnsi="Times New Roman" w:cs="Times New Roman"/>
          <w:lang w:val="en-US"/>
        </w:rPr>
      </w:pPr>
      <w:r w:rsidRPr="00B00873">
        <w:rPr>
          <w:rFonts w:ascii="Times New Roman" w:hAnsi="Times New Roman" w:cs="Times New Roman"/>
          <w:lang w:val="en-US"/>
        </w:rPr>
        <w:t>Legend: RQ=1 Negative control, RQ ≤ 0,5 significant downregulation, RQ ≥ 2 significant upregulation.</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B77061" w:rsidRPr="00C80F1C" w:rsidTr="00DB1B8F">
        <w:tc>
          <w:tcPr>
            <w:tcW w:w="1375" w:type="dxa"/>
          </w:tcPr>
          <w:p w:rsidR="00B77061" w:rsidRDefault="00B77061" w:rsidP="00DB1B8F">
            <w:pPr>
              <w:jc w:val="both"/>
              <w:rPr>
                <w:rFonts w:ascii="Times New Roman" w:hAnsi="Times New Roman" w:cs="Times New Roman"/>
                <w:lang w:val="en-US"/>
              </w:rPr>
            </w:pPr>
          </w:p>
        </w:tc>
        <w:tc>
          <w:tcPr>
            <w:tcW w:w="1375" w:type="dxa"/>
            <w:vAlign w:val="center"/>
          </w:tcPr>
          <w:p w:rsidR="00B77061" w:rsidRPr="00C80F1C" w:rsidRDefault="00B77061" w:rsidP="00DB1B8F">
            <w:pPr>
              <w:jc w:val="center"/>
              <w:rPr>
                <w:rFonts w:ascii="Times New Roman" w:hAnsi="Times New Roman" w:cs="Times New Roman"/>
              </w:rPr>
            </w:pPr>
            <w:r w:rsidRPr="00C56486">
              <w:rPr>
                <w:rFonts w:ascii="Times New Roman" w:hAnsi="Times New Roman" w:cs="Times New Roman"/>
                <w:b/>
                <w:bCs/>
              </w:rPr>
              <w:t>miR-126</w:t>
            </w:r>
          </w:p>
        </w:tc>
        <w:tc>
          <w:tcPr>
            <w:tcW w:w="1375" w:type="dxa"/>
            <w:vAlign w:val="center"/>
          </w:tcPr>
          <w:p w:rsidR="00B77061" w:rsidRPr="00C80F1C" w:rsidRDefault="00B77061" w:rsidP="00DB1B8F">
            <w:pPr>
              <w:jc w:val="center"/>
              <w:rPr>
                <w:rFonts w:ascii="Times New Roman" w:hAnsi="Times New Roman" w:cs="Times New Roman"/>
              </w:rPr>
            </w:pPr>
            <w:r w:rsidRPr="00C56486">
              <w:rPr>
                <w:rFonts w:ascii="Times New Roman" w:hAnsi="Times New Roman" w:cs="Times New Roman"/>
                <w:b/>
                <w:bCs/>
              </w:rPr>
              <w:t>miR-146a</w:t>
            </w:r>
          </w:p>
        </w:tc>
        <w:tc>
          <w:tcPr>
            <w:tcW w:w="1375" w:type="dxa"/>
            <w:vAlign w:val="center"/>
          </w:tcPr>
          <w:p w:rsidR="00B77061" w:rsidRPr="00C80F1C" w:rsidRDefault="00B77061" w:rsidP="00DB1B8F">
            <w:pPr>
              <w:jc w:val="center"/>
              <w:rPr>
                <w:rFonts w:ascii="Times New Roman" w:hAnsi="Times New Roman" w:cs="Times New Roman"/>
              </w:rPr>
            </w:pPr>
            <w:r w:rsidRPr="00C56486">
              <w:rPr>
                <w:rFonts w:ascii="Times New Roman" w:hAnsi="Times New Roman" w:cs="Times New Roman"/>
                <w:b/>
                <w:bCs/>
              </w:rPr>
              <w:t>miR-21</w:t>
            </w:r>
          </w:p>
        </w:tc>
        <w:tc>
          <w:tcPr>
            <w:tcW w:w="1376" w:type="dxa"/>
            <w:vAlign w:val="center"/>
          </w:tcPr>
          <w:p w:rsidR="00B77061" w:rsidRPr="00C80F1C" w:rsidRDefault="00B77061" w:rsidP="00DB1B8F">
            <w:pPr>
              <w:jc w:val="center"/>
              <w:rPr>
                <w:rFonts w:ascii="Times New Roman" w:hAnsi="Times New Roman" w:cs="Times New Roman"/>
              </w:rPr>
            </w:pPr>
            <w:r w:rsidRPr="00C56486">
              <w:rPr>
                <w:rFonts w:ascii="Times New Roman" w:hAnsi="Times New Roman" w:cs="Times New Roman"/>
                <w:b/>
                <w:bCs/>
              </w:rPr>
              <w:t>CHUK</w:t>
            </w:r>
          </w:p>
        </w:tc>
        <w:tc>
          <w:tcPr>
            <w:tcW w:w="1376" w:type="dxa"/>
            <w:vAlign w:val="center"/>
          </w:tcPr>
          <w:p w:rsidR="00B77061" w:rsidRPr="00C80F1C" w:rsidRDefault="00B77061" w:rsidP="00DB1B8F">
            <w:pPr>
              <w:jc w:val="center"/>
              <w:rPr>
                <w:rFonts w:ascii="Times New Roman" w:hAnsi="Times New Roman" w:cs="Times New Roman"/>
              </w:rPr>
            </w:pPr>
            <w:r w:rsidRPr="00C56486">
              <w:rPr>
                <w:rFonts w:ascii="Times New Roman" w:hAnsi="Times New Roman" w:cs="Times New Roman"/>
                <w:b/>
                <w:bCs/>
              </w:rPr>
              <w:t>IKBKG</w:t>
            </w:r>
          </w:p>
        </w:tc>
        <w:tc>
          <w:tcPr>
            <w:tcW w:w="1376" w:type="dxa"/>
            <w:vAlign w:val="center"/>
          </w:tcPr>
          <w:p w:rsidR="00B77061" w:rsidRPr="00C80F1C" w:rsidRDefault="00B77061" w:rsidP="00DB1B8F">
            <w:pPr>
              <w:jc w:val="center"/>
              <w:rPr>
                <w:rFonts w:ascii="Times New Roman" w:hAnsi="Times New Roman" w:cs="Times New Roman"/>
              </w:rPr>
            </w:pPr>
            <w:r w:rsidRPr="00C56486">
              <w:rPr>
                <w:rFonts w:ascii="Times New Roman" w:hAnsi="Times New Roman" w:cs="Times New Roman"/>
                <w:b/>
                <w:bCs/>
              </w:rPr>
              <w:t>NFKB1</w:t>
            </w:r>
          </w:p>
        </w:tc>
      </w:tr>
      <w:tr w:rsidR="00B77061" w:rsidRPr="00C56486" w:rsidTr="00DB1B8F">
        <w:tc>
          <w:tcPr>
            <w:tcW w:w="1375" w:type="dxa"/>
            <w:vAlign w:val="center"/>
          </w:tcPr>
          <w:p w:rsidR="00B77061" w:rsidRPr="00C56486" w:rsidRDefault="00B77061" w:rsidP="00DB1B8F">
            <w:pPr>
              <w:jc w:val="center"/>
              <w:rPr>
                <w:rFonts w:ascii="Times New Roman" w:hAnsi="Times New Roman" w:cs="Times New Roman"/>
              </w:rPr>
            </w:pPr>
            <w:r w:rsidRPr="00C56486">
              <w:rPr>
                <w:rFonts w:ascii="Times New Roman" w:hAnsi="Times New Roman" w:cs="Times New Roman"/>
              </w:rPr>
              <w:t>UVA</w:t>
            </w:r>
          </w:p>
        </w:tc>
        <w:tc>
          <w:tcPr>
            <w:tcW w:w="1375" w:type="dxa"/>
            <w:vAlign w:val="center"/>
          </w:tcPr>
          <w:p w:rsidR="00B77061" w:rsidRPr="00C56486" w:rsidRDefault="00B77061" w:rsidP="00DB1B8F">
            <w:pPr>
              <w:jc w:val="center"/>
              <w:rPr>
                <w:rFonts w:ascii="Times New Roman" w:hAnsi="Times New Roman" w:cs="Times New Roman"/>
              </w:rPr>
            </w:pPr>
            <w:r w:rsidRPr="00C56486">
              <w:rPr>
                <w:rFonts w:ascii="Times New Roman" w:hAnsi="Times New Roman" w:cs="Times New Roman"/>
              </w:rPr>
              <w:t>2.171</w:t>
            </w:r>
          </w:p>
          <w:p w:rsidR="00B77061" w:rsidRPr="00C56486" w:rsidRDefault="00B77061" w:rsidP="00DB1B8F">
            <w:pPr>
              <w:jc w:val="center"/>
              <w:rPr>
                <w:rFonts w:ascii="Times New Roman" w:hAnsi="Times New Roman" w:cs="Times New Roman"/>
              </w:rPr>
            </w:pPr>
            <w:r w:rsidRPr="00C56486">
              <w:rPr>
                <w:rFonts w:ascii="Times New Roman" w:hAnsi="Times New Roman" w:cs="Times New Roman"/>
              </w:rPr>
              <w:t>± 0.000</w:t>
            </w:r>
          </w:p>
        </w:tc>
        <w:tc>
          <w:tcPr>
            <w:tcW w:w="1375" w:type="dxa"/>
            <w:vAlign w:val="center"/>
          </w:tcPr>
          <w:p w:rsidR="00B77061" w:rsidRPr="00C56486" w:rsidRDefault="00B77061" w:rsidP="00DB1B8F">
            <w:pPr>
              <w:jc w:val="center"/>
              <w:rPr>
                <w:rFonts w:ascii="Times New Roman" w:hAnsi="Times New Roman" w:cs="Times New Roman"/>
              </w:rPr>
            </w:pPr>
            <w:r w:rsidRPr="00C56486">
              <w:rPr>
                <w:rFonts w:ascii="Times New Roman" w:hAnsi="Times New Roman" w:cs="Times New Roman"/>
              </w:rPr>
              <w:t>1.518</w:t>
            </w:r>
          </w:p>
          <w:p w:rsidR="00B77061" w:rsidRPr="00C56486" w:rsidRDefault="00B77061" w:rsidP="00DB1B8F">
            <w:pPr>
              <w:jc w:val="center"/>
              <w:rPr>
                <w:rFonts w:ascii="Times New Roman" w:hAnsi="Times New Roman" w:cs="Times New Roman"/>
              </w:rPr>
            </w:pPr>
            <w:r w:rsidRPr="00C56486">
              <w:rPr>
                <w:rFonts w:ascii="Times New Roman" w:hAnsi="Times New Roman" w:cs="Times New Roman"/>
              </w:rPr>
              <w:t>± 0.000</w:t>
            </w:r>
          </w:p>
        </w:tc>
        <w:tc>
          <w:tcPr>
            <w:tcW w:w="1375" w:type="dxa"/>
            <w:vAlign w:val="center"/>
          </w:tcPr>
          <w:p w:rsidR="00B77061" w:rsidRPr="00C56486" w:rsidRDefault="00B77061" w:rsidP="00DB1B8F">
            <w:pPr>
              <w:jc w:val="center"/>
              <w:rPr>
                <w:rFonts w:ascii="Times New Roman" w:hAnsi="Times New Roman" w:cs="Times New Roman"/>
              </w:rPr>
            </w:pPr>
            <w:r w:rsidRPr="00C56486">
              <w:rPr>
                <w:rFonts w:ascii="Times New Roman" w:hAnsi="Times New Roman" w:cs="Times New Roman"/>
              </w:rPr>
              <w:t>4.118</w:t>
            </w:r>
          </w:p>
          <w:p w:rsidR="00B77061" w:rsidRPr="00C56486" w:rsidRDefault="00B77061" w:rsidP="00DB1B8F">
            <w:pPr>
              <w:jc w:val="center"/>
              <w:rPr>
                <w:rFonts w:ascii="Times New Roman" w:hAnsi="Times New Roman" w:cs="Times New Roman"/>
              </w:rPr>
            </w:pPr>
            <w:r w:rsidRPr="00C56486">
              <w:rPr>
                <w:rFonts w:ascii="Times New Roman" w:hAnsi="Times New Roman" w:cs="Times New Roman"/>
              </w:rPr>
              <w:t>± 0.000</w:t>
            </w:r>
          </w:p>
        </w:tc>
        <w:tc>
          <w:tcPr>
            <w:tcW w:w="1376" w:type="dxa"/>
            <w:vAlign w:val="center"/>
          </w:tcPr>
          <w:p w:rsidR="00B77061" w:rsidRPr="00C56486" w:rsidRDefault="00B77061" w:rsidP="00DB1B8F">
            <w:pPr>
              <w:jc w:val="center"/>
              <w:rPr>
                <w:rFonts w:ascii="Times New Roman" w:hAnsi="Times New Roman" w:cs="Times New Roman"/>
              </w:rPr>
            </w:pPr>
            <w:r w:rsidRPr="00C56486">
              <w:rPr>
                <w:rFonts w:ascii="Times New Roman" w:hAnsi="Times New Roman" w:cs="Times New Roman"/>
              </w:rPr>
              <w:t>1.206</w:t>
            </w:r>
          </w:p>
          <w:p w:rsidR="00B77061" w:rsidRPr="00C56486" w:rsidRDefault="00B77061" w:rsidP="00DB1B8F">
            <w:pPr>
              <w:jc w:val="center"/>
              <w:rPr>
                <w:rFonts w:ascii="Times New Roman" w:hAnsi="Times New Roman" w:cs="Times New Roman"/>
              </w:rPr>
            </w:pPr>
            <w:r w:rsidRPr="00C56486">
              <w:rPr>
                <w:rFonts w:ascii="Times New Roman" w:hAnsi="Times New Roman" w:cs="Times New Roman"/>
              </w:rPr>
              <w:t>± 0.524</w:t>
            </w:r>
          </w:p>
        </w:tc>
        <w:tc>
          <w:tcPr>
            <w:tcW w:w="1376" w:type="dxa"/>
            <w:vAlign w:val="center"/>
          </w:tcPr>
          <w:p w:rsidR="00B77061" w:rsidRPr="00C56486" w:rsidRDefault="00B77061" w:rsidP="00DB1B8F">
            <w:pPr>
              <w:jc w:val="center"/>
              <w:rPr>
                <w:rFonts w:ascii="Times New Roman" w:hAnsi="Times New Roman" w:cs="Times New Roman"/>
              </w:rPr>
            </w:pPr>
            <w:r w:rsidRPr="00C56486">
              <w:rPr>
                <w:rFonts w:ascii="Times New Roman" w:hAnsi="Times New Roman" w:cs="Times New Roman"/>
              </w:rPr>
              <w:t>1.687</w:t>
            </w:r>
          </w:p>
          <w:p w:rsidR="00B77061" w:rsidRPr="00C56486" w:rsidRDefault="00B77061" w:rsidP="00DB1B8F">
            <w:pPr>
              <w:jc w:val="center"/>
              <w:rPr>
                <w:rFonts w:ascii="Times New Roman" w:hAnsi="Times New Roman" w:cs="Times New Roman"/>
              </w:rPr>
            </w:pPr>
            <w:r w:rsidRPr="00C56486">
              <w:rPr>
                <w:rFonts w:ascii="Times New Roman" w:hAnsi="Times New Roman" w:cs="Times New Roman"/>
              </w:rPr>
              <w:t>± 0.089</w:t>
            </w:r>
          </w:p>
        </w:tc>
        <w:tc>
          <w:tcPr>
            <w:tcW w:w="1376" w:type="dxa"/>
            <w:vAlign w:val="center"/>
          </w:tcPr>
          <w:p w:rsidR="00B77061" w:rsidRPr="00C56486" w:rsidRDefault="00B77061" w:rsidP="00DB1B8F">
            <w:pPr>
              <w:jc w:val="center"/>
              <w:rPr>
                <w:rFonts w:ascii="Times New Roman" w:hAnsi="Times New Roman" w:cs="Times New Roman"/>
              </w:rPr>
            </w:pPr>
            <w:r w:rsidRPr="00C56486">
              <w:rPr>
                <w:rFonts w:ascii="Times New Roman" w:hAnsi="Times New Roman" w:cs="Times New Roman"/>
              </w:rPr>
              <w:t>1.948</w:t>
            </w:r>
          </w:p>
          <w:p w:rsidR="00B77061" w:rsidRPr="00C56486" w:rsidRDefault="00B77061" w:rsidP="00DB1B8F">
            <w:pPr>
              <w:jc w:val="center"/>
              <w:rPr>
                <w:rFonts w:ascii="Times New Roman" w:hAnsi="Times New Roman" w:cs="Times New Roman"/>
              </w:rPr>
            </w:pPr>
            <w:r w:rsidRPr="00C56486">
              <w:rPr>
                <w:rFonts w:ascii="Times New Roman" w:hAnsi="Times New Roman" w:cs="Times New Roman"/>
              </w:rPr>
              <w:t>± 0.174</w:t>
            </w:r>
          </w:p>
        </w:tc>
      </w:tr>
      <w:tr w:rsidR="00B77061" w:rsidRPr="00CC1FFF" w:rsidTr="00DB1B8F">
        <w:tc>
          <w:tcPr>
            <w:tcW w:w="1375" w:type="dxa"/>
            <w:vAlign w:val="center"/>
          </w:tcPr>
          <w:p w:rsidR="00B77061" w:rsidRPr="00C56486" w:rsidRDefault="00B77061" w:rsidP="00B77061">
            <w:pPr>
              <w:jc w:val="center"/>
              <w:rPr>
                <w:rFonts w:ascii="Times New Roman" w:hAnsi="Times New Roman" w:cs="Times New Roman"/>
              </w:rPr>
            </w:pPr>
            <w:proofErr w:type="spellStart"/>
            <w:r w:rsidRPr="00B77061">
              <w:rPr>
                <w:rFonts w:ascii="Times New Roman" w:hAnsi="Times New Roman" w:cs="Times New Roman"/>
              </w:rPr>
              <w:lastRenderedPageBreak/>
              <w:t>Ceramage</w:t>
            </w:r>
            <w:proofErr w:type="spellEnd"/>
            <w:r w:rsidRPr="00B77061">
              <w:rPr>
                <w:rFonts w:ascii="Times New Roman" w:hAnsi="Times New Roman" w:cs="Times New Roman"/>
              </w:rPr>
              <w:t xml:space="preserve">® </w:t>
            </w:r>
            <w:proofErr w:type="spellStart"/>
            <w:r w:rsidRPr="00B77061">
              <w:rPr>
                <w:rFonts w:ascii="Times New Roman" w:hAnsi="Times New Roman" w:cs="Times New Roman"/>
              </w:rPr>
              <w:t>Fluid</w:t>
            </w:r>
            <w:proofErr w:type="spellEnd"/>
            <w:r w:rsidRPr="00B77061">
              <w:rPr>
                <w:rFonts w:ascii="Times New Roman" w:hAnsi="Times New Roman" w:cs="Times New Roman"/>
              </w:rPr>
              <w:t xml:space="preserve"> Concentrate</w:t>
            </w:r>
          </w:p>
        </w:tc>
        <w:tc>
          <w:tcPr>
            <w:tcW w:w="1375" w:type="dxa"/>
            <w:vAlign w:val="center"/>
          </w:tcPr>
          <w:p w:rsidR="00B77061" w:rsidRPr="00B77061" w:rsidRDefault="00B77061" w:rsidP="00B77061">
            <w:pPr>
              <w:jc w:val="center"/>
              <w:rPr>
                <w:rFonts w:ascii="Times New Roman" w:hAnsi="Times New Roman" w:cs="Times New Roman"/>
              </w:rPr>
            </w:pPr>
            <w:r w:rsidRPr="00B77061">
              <w:rPr>
                <w:rFonts w:ascii="Times New Roman" w:hAnsi="Times New Roman" w:cs="Times New Roman"/>
              </w:rPr>
              <w:t>1.353</w:t>
            </w:r>
          </w:p>
          <w:p w:rsidR="00B77061" w:rsidRPr="00C56486" w:rsidRDefault="00B77061" w:rsidP="00B77061">
            <w:pPr>
              <w:jc w:val="center"/>
              <w:rPr>
                <w:rFonts w:ascii="Times New Roman" w:hAnsi="Times New Roman" w:cs="Times New Roman"/>
              </w:rPr>
            </w:pPr>
            <w:r w:rsidRPr="00B77061">
              <w:rPr>
                <w:rFonts w:ascii="Times New Roman" w:hAnsi="Times New Roman" w:cs="Times New Roman"/>
              </w:rPr>
              <w:t>± 0.384</w:t>
            </w:r>
          </w:p>
        </w:tc>
        <w:tc>
          <w:tcPr>
            <w:tcW w:w="1375" w:type="dxa"/>
            <w:vAlign w:val="center"/>
          </w:tcPr>
          <w:p w:rsidR="00B77061" w:rsidRPr="00B77061" w:rsidRDefault="00B77061" w:rsidP="00B77061">
            <w:pPr>
              <w:jc w:val="center"/>
              <w:rPr>
                <w:rFonts w:ascii="Times New Roman" w:hAnsi="Times New Roman" w:cs="Times New Roman"/>
              </w:rPr>
            </w:pPr>
            <w:r w:rsidRPr="00B77061">
              <w:rPr>
                <w:rFonts w:ascii="Times New Roman" w:hAnsi="Times New Roman" w:cs="Times New Roman"/>
              </w:rPr>
              <w:t>1.237</w:t>
            </w:r>
          </w:p>
          <w:p w:rsidR="00B77061" w:rsidRPr="00C56486" w:rsidRDefault="00B77061" w:rsidP="00B77061">
            <w:pPr>
              <w:jc w:val="center"/>
              <w:rPr>
                <w:rFonts w:ascii="Times New Roman" w:hAnsi="Times New Roman" w:cs="Times New Roman"/>
              </w:rPr>
            </w:pPr>
            <w:r w:rsidRPr="00B77061">
              <w:rPr>
                <w:rFonts w:ascii="Times New Roman" w:hAnsi="Times New Roman" w:cs="Times New Roman"/>
              </w:rPr>
              <w:t>± 0.598</w:t>
            </w:r>
          </w:p>
        </w:tc>
        <w:tc>
          <w:tcPr>
            <w:tcW w:w="1375" w:type="dxa"/>
            <w:vAlign w:val="center"/>
          </w:tcPr>
          <w:p w:rsidR="00B77061" w:rsidRPr="00B77061" w:rsidRDefault="00B77061" w:rsidP="00B77061">
            <w:pPr>
              <w:jc w:val="center"/>
              <w:rPr>
                <w:rFonts w:ascii="Times New Roman" w:hAnsi="Times New Roman" w:cs="Times New Roman"/>
              </w:rPr>
            </w:pPr>
            <w:r w:rsidRPr="00B77061">
              <w:rPr>
                <w:rFonts w:ascii="Times New Roman" w:hAnsi="Times New Roman" w:cs="Times New Roman"/>
              </w:rPr>
              <w:t>1.492</w:t>
            </w:r>
          </w:p>
          <w:p w:rsidR="00B77061" w:rsidRPr="00C56486" w:rsidRDefault="00B77061" w:rsidP="00B77061">
            <w:pPr>
              <w:jc w:val="center"/>
              <w:rPr>
                <w:rFonts w:ascii="Times New Roman" w:hAnsi="Times New Roman" w:cs="Times New Roman"/>
              </w:rPr>
            </w:pPr>
            <w:r w:rsidRPr="00B77061">
              <w:rPr>
                <w:rFonts w:ascii="Times New Roman" w:hAnsi="Times New Roman" w:cs="Times New Roman"/>
              </w:rPr>
              <w:t>± 1.045</w:t>
            </w:r>
          </w:p>
        </w:tc>
        <w:tc>
          <w:tcPr>
            <w:tcW w:w="1376" w:type="dxa"/>
            <w:vAlign w:val="center"/>
          </w:tcPr>
          <w:p w:rsidR="00B77061" w:rsidRPr="00B77061" w:rsidRDefault="00B77061" w:rsidP="00B77061">
            <w:pPr>
              <w:jc w:val="center"/>
              <w:rPr>
                <w:rFonts w:ascii="Times New Roman" w:hAnsi="Times New Roman" w:cs="Times New Roman"/>
              </w:rPr>
            </w:pPr>
            <w:r w:rsidRPr="00B77061">
              <w:rPr>
                <w:rFonts w:ascii="Times New Roman" w:hAnsi="Times New Roman" w:cs="Times New Roman"/>
              </w:rPr>
              <w:t>1.116</w:t>
            </w:r>
          </w:p>
          <w:p w:rsidR="00B77061" w:rsidRPr="00C56486" w:rsidRDefault="00B77061" w:rsidP="00B77061">
            <w:pPr>
              <w:jc w:val="center"/>
              <w:rPr>
                <w:rFonts w:ascii="Times New Roman" w:hAnsi="Times New Roman" w:cs="Times New Roman"/>
              </w:rPr>
            </w:pPr>
            <w:r w:rsidRPr="00B77061">
              <w:rPr>
                <w:rFonts w:ascii="Times New Roman" w:hAnsi="Times New Roman" w:cs="Times New Roman"/>
              </w:rPr>
              <w:t>± 0.450</w:t>
            </w:r>
          </w:p>
        </w:tc>
        <w:tc>
          <w:tcPr>
            <w:tcW w:w="1376" w:type="dxa"/>
            <w:vAlign w:val="center"/>
          </w:tcPr>
          <w:p w:rsidR="00B77061" w:rsidRPr="00B77061" w:rsidRDefault="00B77061" w:rsidP="00B77061">
            <w:pPr>
              <w:jc w:val="center"/>
              <w:rPr>
                <w:rFonts w:ascii="Times New Roman" w:hAnsi="Times New Roman" w:cs="Times New Roman"/>
              </w:rPr>
            </w:pPr>
            <w:r w:rsidRPr="00B77061">
              <w:rPr>
                <w:rFonts w:ascii="Times New Roman" w:hAnsi="Times New Roman" w:cs="Times New Roman"/>
              </w:rPr>
              <w:t>1.470</w:t>
            </w:r>
          </w:p>
          <w:p w:rsidR="00B77061" w:rsidRPr="00C56486" w:rsidRDefault="00B77061" w:rsidP="00B77061">
            <w:pPr>
              <w:jc w:val="center"/>
              <w:rPr>
                <w:rFonts w:ascii="Times New Roman" w:hAnsi="Times New Roman" w:cs="Times New Roman"/>
              </w:rPr>
            </w:pPr>
            <w:r w:rsidRPr="00B77061">
              <w:rPr>
                <w:rFonts w:ascii="Times New Roman" w:hAnsi="Times New Roman" w:cs="Times New Roman"/>
              </w:rPr>
              <w:t>± 0.185</w:t>
            </w:r>
          </w:p>
        </w:tc>
        <w:tc>
          <w:tcPr>
            <w:tcW w:w="1376" w:type="dxa"/>
            <w:vAlign w:val="center"/>
          </w:tcPr>
          <w:p w:rsidR="00B77061" w:rsidRPr="00B77061" w:rsidRDefault="00B77061" w:rsidP="00B77061">
            <w:pPr>
              <w:jc w:val="center"/>
              <w:rPr>
                <w:rFonts w:ascii="Times New Roman" w:hAnsi="Times New Roman" w:cs="Times New Roman"/>
              </w:rPr>
            </w:pPr>
            <w:r w:rsidRPr="00B77061">
              <w:rPr>
                <w:rFonts w:ascii="Times New Roman" w:hAnsi="Times New Roman" w:cs="Times New Roman"/>
              </w:rPr>
              <w:t>3.592</w:t>
            </w:r>
          </w:p>
          <w:p w:rsidR="00B77061" w:rsidRPr="00CC1FFF" w:rsidRDefault="00B77061" w:rsidP="00B77061">
            <w:pPr>
              <w:jc w:val="center"/>
              <w:rPr>
                <w:rFonts w:ascii="Times New Roman" w:hAnsi="Times New Roman" w:cs="Times New Roman"/>
              </w:rPr>
            </w:pPr>
            <w:r w:rsidRPr="00B77061">
              <w:rPr>
                <w:rFonts w:ascii="Times New Roman" w:hAnsi="Times New Roman" w:cs="Times New Roman"/>
              </w:rPr>
              <w:t>± 0.009</w:t>
            </w:r>
          </w:p>
        </w:tc>
      </w:tr>
    </w:tbl>
    <w:p w:rsidR="001C1A97" w:rsidRPr="00D761F4" w:rsidRDefault="001C1A97" w:rsidP="005272A2">
      <w:pPr>
        <w:jc w:val="both"/>
        <w:rPr>
          <w:lang w:val="en-US"/>
        </w:rPr>
      </w:pPr>
    </w:p>
    <w:sectPr w:rsidR="001C1A97" w:rsidRPr="00D761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71F67"/>
    <w:multiLevelType w:val="hybridMultilevel"/>
    <w:tmpl w:val="BB043B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49E28B2"/>
    <w:multiLevelType w:val="hybridMultilevel"/>
    <w:tmpl w:val="D92606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3MLEwNjMysTAxNzNQ0lEKTi0uzszPAykwNKwFAOzP2s8tAAAA"/>
  </w:docVars>
  <w:rsids>
    <w:rsidRoot w:val="00862BD1"/>
    <w:rsid w:val="00000C6C"/>
    <w:rsid w:val="00006288"/>
    <w:rsid w:val="000515D4"/>
    <w:rsid w:val="00060EF3"/>
    <w:rsid w:val="00066ED0"/>
    <w:rsid w:val="00067061"/>
    <w:rsid w:val="000712DE"/>
    <w:rsid w:val="000771B2"/>
    <w:rsid w:val="00080A0F"/>
    <w:rsid w:val="00087319"/>
    <w:rsid w:val="000D3F60"/>
    <w:rsid w:val="000E5195"/>
    <w:rsid w:val="000F3248"/>
    <w:rsid w:val="00101A92"/>
    <w:rsid w:val="00102934"/>
    <w:rsid w:val="001070EA"/>
    <w:rsid w:val="0013566B"/>
    <w:rsid w:val="0014792C"/>
    <w:rsid w:val="00167EC4"/>
    <w:rsid w:val="001724F1"/>
    <w:rsid w:val="00185DAA"/>
    <w:rsid w:val="001B31E4"/>
    <w:rsid w:val="001C1A97"/>
    <w:rsid w:val="00213A76"/>
    <w:rsid w:val="002227A6"/>
    <w:rsid w:val="00225D19"/>
    <w:rsid w:val="002676FB"/>
    <w:rsid w:val="00275C9B"/>
    <w:rsid w:val="002B1C1A"/>
    <w:rsid w:val="003655B3"/>
    <w:rsid w:val="003807DE"/>
    <w:rsid w:val="003822F3"/>
    <w:rsid w:val="00385FDC"/>
    <w:rsid w:val="003B1B62"/>
    <w:rsid w:val="003F3F80"/>
    <w:rsid w:val="00401568"/>
    <w:rsid w:val="00427D64"/>
    <w:rsid w:val="00447F07"/>
    <w:rsid w:val="00451685"/>
    <w:rsid w:val="004734CC"/>
    <w:rsid w:val="004B11A8"/>
    <w:rsid w:val="004D70D2"/>
    <w:rsid w:val="00502529"/>
    <w:rsid w:val="005272A2"/>
    <w:rsid w:val="00586FF5"/>
    <w:rsid w:val="00597282"/>
    <w:rsid w:val="005A4126"/>
    <w:rsid w:val="005E4D8E"/>
    <w:rsid w:val="0061041B"/>
    <w:rsid w:val="006134BC"/>
    <w:rsid w:val="006366F4"/>
    <w:rsid w:val="00661022"/>
    <w:rsid w:val="0066251D"/>
    <w:rsid w:val="006A297B"/>
    <w:rsid w:val="006E267E"/>
    <w:rsid w:val="007206B7"/>
    <w:rsid w:val="00764B48"/>
    <w:rsid w:val="00782F15"/>
    <w:rsid w:val="007A34F7"/>
    <w:rsid w:val="007B20BD"/>
    <w:rsid w:val="007B47E3"/>
    <w:rsid w:val="007B6660"/>
    <w:rsid w:val="007E646A"/>
    <w:rsid w:val="007F52BD"/>
    <w:rsid w:val="00862BD1"/>
    <w:rsid w:val="0088339A"/>
    <w:rsid w:val="00931936"/>
    <w:rsid w:val="0094631F"/>
    <w:rsid w:val="009747DD"/>
    <w:rsid w:val="009D3E35"/>
    <w:rsid w:val="009E6EBA"/>
    <w:rsid w:val="00A10C8E"/>
    <w:rsid w:val="00A23E7A"/>
    <w:rsid w:val="00A414BF"/>
    <w:rsid w:val="00A46DD1"/>
    <w:rsid w:val="00A629FF"/>
    <w:rsid w:val="00A7451E"/>
    <w:rsid w:val="00AE3195"/>
    <w:rsid w:val="00AF783C"/>
    <w:rsid w:val="00B00873"/>
    <w:rsid w:val="00B1416D"/>
    <w:rsid w:val="00B22DB7"/>
    <w:rsid w:val="00B264C0"/>
    <w:rsid w:val="00B41FEE"/>
    <w:rsid w:val="00B51087"/>
    <w:rsid w:val="00B77061"/>
    <w:rsid w:val="00B80F27"/>
    <w:rsid w:val="00BA2D6E"/>
    <w:rsid w:val="00BE0431"/>
    <w:rsid w:val="00C06021"/>
    <w:rsid w:val="00C15A17"/>
    <w:rsid w:val="00C312A7"/>
    <w:rsid w:val="00C56486"/>
    <w:rsid w:val="00C73008"/>
    <w:rsid w:val="00C80F1C"/>
    <w:rsid w:val="00C91800"/>
    <w:rsid w:val="00CC189B"/>
    <w:rsid w:val="00CC1FFF"/>
    <w:rsid w:val="00CF5A29"/>
    <w:rsid w:val="00CF77AF"/>
    <w:rsid w:val="00D2363C"/>
    <w:rsid w:val="00D25602"/>
    <w:rsid w:val="00D25EB9"/>
    <w:rsid w:val="00D27DAC"/>
    <w:rsid w:val="00D44BC7"/>
    <w:rsid w:val="00D47421"/>
    <w:rsid w:val="00D628E0"/>
    <w:rsid w:val="00D70347"/>
    <w:rsid w:val="00D72FEE"/>
    <w:rsid w:val="00D761F4"/>
    <w:rsid w:val="00D8450A"/>
    <w:rsid w:val="00DA298F"/>
    <w:rsid w:val="00DC4734"/>
    <w:rsid w:val="00DC5DDB"/>
    <w:rsid w:val="00DE451A"/>
    <w:rsid w:val="00E23253"/>
    <w:rsid w:val="00E41943"/>
    <w:rsid w:val="00E75A9E"/>
    <w:rsid w:val="00EC398A"/>
    <w:rsid w:val="00ED5809"/>
    <w:rsid w:val="00F41BAF"/>
    <w:rsid w:val="00F5597A"/>
    <w:rsid w:val="00F6217D"/>
    <w:rsid w:val="00F952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E0D9"/>
  <w15:chartTrackingRefBased/>
  <w15:docId w15:val="{728D6B27-5DEF-48F9-B777-FB6F8FD3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2BD1"/>
    <w:pPr>
      <w:ind w:left="720"/>
      <w:contextualSpacing/>
    </w:pPr>
  </w:style>
  <w:style w:type="character" w:styleId="Collegamentoipertestuale">
    <w:name w:val="Hyperlink"/>
    <w:basedOn w:val="Carpredefinitoparagrafo"/>
    <w:uiPriority w:val="99"/>
    <w:unhideWhenUsed/>
    <w:rsid w:val="00862BD1"/>
    <w:rPr>
      <w:color w:val="0563C1" w:themeColor="hyperlink"/>
      <w:u w:val="single"/>
    </w:rPr>
  </w:style>
  <w:style w:type="character" w:styleId="Menzionenonrisolta">
    <w:name w:val="Unresolved Mention"/>
    <w:basedOn w:val="Carpredefinitoparagrafo"/>
    <w:uiPriority w:val="99"/>
    <w:semiHidden/>
    <w:unhideWhenUsed/>
    <w:rsid w:val="00862BD1"/>
    <w:rPr>
      <w:color w:val="605E5C"/>
      <w:shd w:val="clear" w:color="auto" w:fill="E1DFDD"/>
    </w:rPr>
  </w:style>
  <w:style w:type="table" w:styleId="Grigliatabella">
    <w:name w:val="Table Grid"/>
    <w:basedOn w:val="Tabellanormale"/>
    <w:uiPriority w:val="39"/>
    <w:rsid w:val="00071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3980">
      <w:bodyDiv w:val="1"/>
      <w:marLeft w:val="0"/>
      <w:marRight w:val="0"/>
      <w:marTop w:val="0"/>
      <w:marBottom w:val="0"/>
      <w:divBdr>
        <w:top w:val="none" w:sz="0" w:space="0" w:color="auto"/>
        <w:left w:val="none" w:sz="0" w:space="0" w:color="auto"/>
        <w:bottom w:val="none" w:sz="0" w:space="0" w:color="auto"/>
        <w:right w:val="none" w:sz="0" w:space="0" w:color="auto"/>
      </w:divBdr>
    </w:div>
    <w:div w:id="213928550">
      <w:bodyDiv w:val="1"/>
      <w:marLeft w:val="0"/>
      <w:marRight w:val="0"/>
      <w:marTop w:val="0"/>
      <w:marBottom w:val="0"/>
      <w:divBdr>
        <w:top w:val="none" w:sz="0" w:space="0" w:color="auto"/>
        <w:left w:val="none" w:sz="0" w:space="0" w:color="auto"/>
        <w:bottom w:val="none" w:sz="0" w:space="0" w:color="auto"/>
        <w:right w:val="none" w:sz="0" w:space="0" w:color="auto"/>
      </w:divBdr>
    </w:div>
    <w:div w:id="262887471">
      <w:bodyDiv w:val="1"/>
      <w:marLeft w:val="0"/>
      <w:marRight w:val="0"/>
      <w:marTop w:val="0"/>
      <w:marBottom w:val="0"/>
      <w:divBdr>
        <w:top w:val="none" w:sz="0" w:space="0" w:color="auto"/>
        <w:left w:val="none" w:sz="0" w:space="0" w:color="auto"/>
        <w:bottom w:val="none" w:sz="0" w:space="0" w:color="auto"/>
        <w:right w:val="none" w:sz="0" w:space="0" w:color="auto"/>
      </w:divBdr>
    </w:div>
    <w:div w:id="540485886">
      <w:bodyDiv w:val="1"/>
      <w:marLeft w:val="0"/>
      <w:marRight w:val="0"/>
      <w:marTop w:val="0"/>
      <w:marBottom w:val="0"/>
      <w:divBdr>
        <w:top w:val="none" w:sz="0" w:space="0" w:color="auto"/>
        <w:left w:val="none" w:sz="0" w:space="0" w:color="auto"/>
        <w:bottom w:val="none" w:sz="0" w:space="0" w:color="auto"/>
        <w:right w:val="none" w:sz="0" w:space="0" w:color="auto"/>
      </w:divBdr>
    </w:div>
    <w:div w:id="547836163">
      <w:bodyDiv w:val="1"/>
      <w:marLeft w:val="0"/>
      <w:marRight w:val="0"/>
      <w:marTop w:val="0"/>
      <w:marBottom w:val="0"/>
      <w:divBdr>
        <w:top w:val="none" w:sz="0" w:space="0" w:color="auto"/>
        <w:left w:val="none" w:sz="0" w:space="0" w:color="auto"/>
        <w:bottom w:val="none" w:sz="0" w:space="0" w:color="auto"/>
        <w:right w:val="none" w:sz="0" w:space="0" w:color="auto"/>
      </w:divBdr>
    </w:div>
    <w:div w:id="627126155">
      <w:bodyDiv w:val="1"/>
      <w:marLeft w:val="0"/>
      <w:marRight w:val="0"/>
      <w:marTop w:val="0"/>
      <w:marBottom w:val="0"/>
      <w:divBdr>
        <w:top w:val="none" w:sz="0" w:space="0" w:color="auto"/>
        <w:left w:val="none" w:sz="0" w:space="0" w:color="auto"/>
        <w:bottom w:val="none" w:sz="0" w:space="0" w:color="auto"/>
        <w:right w:val="none" w:sz="0" w:space="0" w:color="auto"/>
      </w:divBdr>
    </w:div>
    <w:div w:id="632563290">
      <w:bodyDiv w:val="1"/>
      <w:marLeft w:val="0"/>
      <w:marRight w:val="0"/>
      <w:marTop w:val="0"/>
      <w:marBottom w:val="0"/>
      <w:divBdr>
        <w:top w:val="none" w:sz="0" w:space="0" w:color="auto"/>
        <w:left w:val="none" w:sz="0" w:space="0" w:color="auto"/>
        <w:bottom w:val="none" w:sz="0" w:space="0" w:color="auto"/>
        <w:right w:val="none" w:sz="0" w:space="0" w:color="auto"/>
      </w:divBdr>
    </w:div>
    <w:div w:id="640769945">
      <w:bodyDiv w:val="1"/>
      <w:marLeft w:val="0"/>
      <w:marRight w:val="0"/>
      <w:marTop w:val="0"/>
      <w:marBottom w:val="0"/>
      <w:divBdr>
        <w:top w:val="none" w:sz="0" w:space="0" w:color="auto"/>
        <w:left w:val="none" w:sz="0" w:space="0" w:color="auto"/>
        <w:bottom w:val="none" w:sz="0" w:space="0" w:color="auto"/>
        <w:right w:val="none" w:sz="0" w:space="0" w:color="auto"/>
      </w:divBdr>
    </w:div>
    <w:div w:id="641888757">
      <w:bodyDiv w:val="1"/>
      <w:marLeft w:val="0"/>
      <w:marRight w:val="0"/>
      <w:marTop w:val="0"/>
      <w:marBottom w:val="0"/>
      <w:divBdr>
        <w:top w:val="none" w:sz="0" w:space="0" w:color="auto"/>
        <w:left w:val="none" w:sz="0" w:space="0" w:color="auto"/>
        <w:bottom w:val="none" w:sz="0" w:space="0" w:color="auto"/>
        <w:right w:val="none" w:sz="0" w:space="0" w:color="auto"/>
      </w:divBdr>
    </w:div>
    <w:div w:id="697320342">
      <w:bodyDiv w:val="1"/>
      <w:marLeft w:val="0"/>
      <w:marRight w:val="0"/>
      <w:marTop w:val="0"/>
      <w:marBottom w:val="0"/>
      <w:divBdr>
        <w:top w:val="none" w:sz="0" w:space="0" w:color="auto"/>
        <w:left w:val="none" w:sz="0" w:space="0" w:color="auto"/>
        <w:bottom w:val="none" w:sz="0" w:space="0" w:color="auto"/>
        <w:right w:val="none" w:sz="0" w:space="0" w:color="auto"/>
      </w:divBdr>
    </w:div>
    <w:div w:id="745347687">
      <w:bodyDiv w:val="1"/>
      <w:marLeft w:val="0"/>
      <w:marRight w:val="0"/>
      <w:marTop w:val="0"/>
      <w:marBottom w:val="0"/>
      <w:divBdr>
        <w:top w:val="none" w:sz="0" w:space="0" w:color="auto"/>
        <w:left w:val="none" w:sz="0" w:space="0" w:color="auto"/>
        <w:bottom w:val="none" w:sz="0" w:space="0" w:color="auto"/>
        <w:right w:val="none" w:sz="0" w:space="0" w:color="auto"/>
      </w:divBdr>
    </w:div>
    <w:div w:id="768431924">
      <w:bodyDiv w:val="1"/>
      <w:marLeft w:val="0"/>
      <w:marRight w:val="0"/>
      <w:marTop w:val="0"/>
      <w:marBottom w:val="0"/>
      <w:divBdr>
        <w:top w:val="none" w:sz="0" w:space="0" w:color="auto"/>
        <w:left w:val="none" w:sz="0" w:space="0" w:color="auto"/>
        <w:bottom w:val="none" w:sz="0" w:space="0" w:color="auto"/>
        <w:right w:val="none" w:sz="0" w:space="0" w:color="auto"/>
      </w:divBdr>
    </w:div>
    <w:div w:id="772090201">
      <w:bodyDiv w:val="1"/>
      <w:marLeft w:val="0"/>
      <w:marRight w:val="0"/>
      <w:marTop w:val="0"/>
      <w:marBottom w:val="0"/>
      <w:divBdr>
        <w:top w:val="none" w:sz="0" w:space="0" w:color="auto"/>
        <w:left w:val="none" w:sz="0" w:space="0" w:color="auto"/>
        <w:bottom w:val="none" w:sz="0" w:space="0" w:color="auto"/>
        <w:right w:val="none" w:sz="0" w:space="0" w:color="auto"/>
      </w:divBdr>
    </w:div>
    <w:div w:id="801772036">
      <w:bodyDiv w:val="1"/>
      <w:marLeft w:val="0"/>
      <w:marRight w:val="0"/>
      <w:marTop w:val="0"/>
      <w:marBottom w:val="0"/>
      <w:divBdr>
        <w:top w:val="none" w:sz="0" w:space="0" w:color="auto"/>
        <w:left w:val="none" w:sz="0" w:space="0" w:color="auto"/>
        <w:bottom w:val="none" w:sz="0" w:space="0" w:color="auto"/>
        <w:right w:val="none" w:sz="0" w:space="0" w:color="auto"/>
      </w:divBdr>
    </w:div>
    <w:div w:id="823082761">
      <w:bodyDiv w:val="1"/>
      <w:marLeft w:val="0"/>
      <w:marRight w:val="0"/>
      <w:marTop w:val="0"/>
      <w:marBottom w:val="0"/>
      <w:divBdr>
        <w:top w:val="none" w:sz="0" w:space="0" w:color="auto"/>
        <w:left w:val="none" w:sz="0" w:space="0" w:color="auto"/>
        <w:bottom w:val="none" w:sz="0" w:space="0" w:color="auto"/>
        <w:right w:val="none" w:sz="0" w:space="0" w:color="auto"/>
      </w:divBdr>
    </w:div>
    <w:div w:id="852720832">
      <w:bodyDiv w:val="1"/>
      <w:marLeft w:val="0"/>
      <w:marRight w:val="0"/>
      <w:marTop w:val="0"/>
      <w:marBottom w:val="0"/>
      <w:divBdr>
        <w:top w:val="none" w:sz="0" w:space="0" w:color="auto"/>
        <w:left w:val="none" w:sz="0" w:space="0" w:color="auto"/>
        <w:bottom w:val="none" w:sz="0" w:space="0" w:color="auto"/>
        <w:right w:val="none" w:sz="0" w:space="0" w:color="auto"/>
      </w:divBdr>
    </w:div>
    <w:div w:id="858010165">
      <w:bodyDiv w:val="1"/>
      <w:marLeft w:val="0"/>
      <w:marRight w:val="0"/>
      <w:marTop w:val="0"/>
      <w:marBottom w:val="0"/>
      <w:divBdr>
        <w:top w:val="none" w:sz="0" w:space="0" w:color="auto"/>
        <w:left w:val="none" w:sz="0" w:space="0" w:color="auto"/>
        <w:bottom w:val="none" w:sz="0" w:space="0" w:color="auto"/>
        <w:right w:val="none" w:sz="0" w:space="0" w:color="auto"/>
      </w:divBdr>
    </w:div>
    <w:div w:id="861014737">
      <w:bodyDiv w:val="1"/>
      <w:marLeft w:val="0"/>
      <w:marRight w:val="0"/>
      <w:marTop w:val="0"/>
      <w:marBottom w:val="0"/>
      <w:divBdr>
        <w:top w:val="none" w:sz="0" w:space="0" w:color="auto"/>
        <w:left w:val="none" w:sz="0" w:space="0" w:color="auto"/>
        <w:bottom w:val="none" w:sz="0" w:space="0" w:color="auto"/>
        <w:right w:val="none" w:sz="0" w:space="0" w:color="auto"/>
      </w:divBdr>
    </w:div>
    <w:div w:id="897938033">
      <w:bodyDiv w:val="1"/>
      <w:marLeft w:val="0"/>
      <w:marRight w:val="0"/>
      <w:marTop w:val="0"/>
      <w:marBottom w:val="0"/>
      <w:divBdr>
        <w:top w:val="none" w:sz="0" w:space="0" w:color="auto"/>
        <w:left w:val="none" w:sz="0" w:space="0" w:color="auto"/>
        <w:bottom w:val="none" w:sz="0" w:space="0" w:color="auto"/>
        <w:right w:val="none" w:sz="0" w:space="0" w:color="auto"/>
      </w:divBdr>
    </w:div>
    <w:div w:id="1010643742">
      <w:bodyDiv w:val="1"/>
      <w:marLeft w:val="0"/>
      <w:marRight w:val="0"/>
      <w:marTop w:val="0"/>
      <w:marBottom w:val="0"/>
      <w:divBdr>
        <w:top w:val="none" w:sz="0" w:space="0" w:color="auto"/>
        <w:left w:val="none" w:sz="0" w:space="0" w:color="auto"/>
        <w:bottom w:val="none" w:sz="0" w:space="0" w:color="auto"/>
        <w:right w:val="none" w:sz="0" w:space="0" w:color="auto"/>
      </w:divBdr>
    </w:div>
    <w:div w:id="1019893528">
      <w:bodyDiv w:val="1"/>
      <w:marLeft w:val="0"/>
      <w:marRight w:val="0"/>
      <w:marTop w:val="0"/>
      <w:marBottom w:val="0"/>
      <w:divBdr>
        <w:top w:val="none" w:sz="0" w:space="0" w:color="auto"/>
        <w:left w:val="none" w:sz="0" w:space="0" w:color="auto"/>
        <w:bottom w:val="none" w:sz="0" w:space="0" w:color="auto"/>
        <w:right w:val="none" w:sz="0" w:space="0" w:color="auto"/>
      </w:divBdr>
    </w:div>
    <w:div w:id="1036389857">
      <w:bodyDiv w:val="1"/>
      <w:marLeft w:val="0"/>
      <w:marRight w:val="0"/>
      <w:marTop w:val="0"/>
      <w:marBottom w:val="0"/>
      <w:divBdr>
        <w:top w:val="none" w:sz="0" w:space="0" w:color="auto"/>
        <w:left w:val="none" w:sz="0" w:space="0" w:color="auto"/>
        <w:bottom w:val="none" w:sz="0" w:space="0" w:color="auto"/>
        <w:right w:val="none" w:sz="0" w:space="0" w:color="auto"/>
      </w:divBdr>
    </w:div>
    <w:div w:id="1066033854">
      <w:bodyDiv w:val="1"/>
      <w:marLeft w:val="0"/>
      <w:marRight w:val="0"/>
      <w:marTop w:val="0"/>
      <w:marBottom w:val="0"/>
      <w:divBdr>
        <w:top w:val="none" w:sz="0" w:space="0" w:color="auto"/>
        <w:left w:val="none" w:sz="0" w:space="0" w:color="auto"/>
        <w:bottom w:val="none" w:sz="0" w:space="0" w:color="auto"/>
        <w:right w:val="none" w:sz="0" w:space="0" w:color="auto"/>
      </w:divBdr>
    </w:div>
    <w:div w:id="1214348027">
      <w:bodyDiv w:val="1"/>
      <w:marLeft w:val="0"/>
      <w:marRight w:val="0"/>
      <w:marTop w:val="0"/>
      <w:marBottom w:val="0"/>
      <w:divBdr>
        <w:top w:val="none" w:sz="0" w:space="0" w:color="auto"/>
        <w:left w:val="none" w:sz="0" w:space="0" w:color="auto"/>
        <w:bottom w:val="none" w:sz="0" w:space="0" w:color="auto"/>
        <w:right w:val="none" w:sz="0" w:space="0" w:color="auto"/>
      </w:divBdr>
    </w:div>
    <w:div w:id="1243292350">
      <w:bodyDiv w:val="1"/>
      <w:marLeft w:val="0"/>
      <w:marRight w:val="0"/>
      <w:marTop w:val="0"/>
      <w:marBottom w:val="0"/>
      <w:divBdr>
        <w:top w:val="none" w:sz="0" w:space="0" w:color="auto"/>
        <w:left w:val="none" w:sz="0" w:space="0" w:color="auto"/>
        <w:bottom w:val="none" w:sz="0" w:space="0" w:color="auto"/>
        <w:right w:val="none" w:sz="0" w:space="0" w:color="auto"/>
      </w:divBdr>
    </w:div>
    <w:div w:id="1253272575">
      <w:bodyDiv w:val="1"/>
      <w:marLeft w:val="0"/>
      <w:marRight w:val="0"/>
      <w:marTop w:val="0"/>
      <w:marBottom w:val="0"/>
      <w:divBdr>
        <w:top w:val="none" w:sz="0" w:space="0" w:color="auto"/>
        <w:left w:val="none" w:sz="0" w:space="0" w:color="auto"/>
        <w:bottom w:val="none" w:sz="0" w:space="0" w:color="auto"/>
        <w:right w:val="none" w:sz="0" w:space="0" w:color="auto"/>
      </w:divBdr>
    </w:div>
    <w:div w:id="1259027293">
      <w:bodyDiv w:val="1"/>
      <w:marLeft w:val="0"/>
      <w:marRight w:val="0"/>
      <w:marTop w:val="0"/>
      <w:marBottom w:val="0"/>
      <w:divBdr>
        <w:top w:val="none" w:sz="0" w:space="0" w:color="auto"/>
        <w:left w:val="none" w:sz="0" w:space="0" w:color="auto"/>
        <w:bottom w:val="none" w:sz="0" w:space="0" w:color="auto"/>
        <w:right w:val="none" w:sz="0" w:space="0" w:color="auto"/>
      </w:divBdr>
    </w:div>
    <w:div w:id="1455952190">
      <w:bodyDiv w:val="1"/>
      <w:marLeft w:val="0"/>
      <w:marRight w:val="0"/>
      <w:marTop w:val="0"/>
      <w:marBottom w:val="0"/>
      <w:divBdr>
        <w:top w:val="none" w:sz="0" w:space="0" w:color="auto"/>
        <w:left w:val="none" w:sz="0" w:space="0" w:color="auto"/>
        <w:bottom w:val="none" w:sz="0" w:space="0" w:color="auto"/>
        <w:right w:val="none" w:sz="0" w:space="0" w:color="auto"/>
      </w:divBdr>
    </w:div>
    <w:div w:id="1479498047">
      <w:bodyDiv w:val="1"/>
      <w:marLeft w:val="0"/>
      <w:marRight w:val="0"/>
      <w:marTop w:val="0"/>
      <w:marBottom w:val="0"/>
      <w:divBdr>
        <w:top w:val="none" w:sz="0" w:space="0" w:color="auto"/>
        <w:left w:val="none" w:sz="0" w:space="0" w:color="auto"/>
        <w:bottom w:val="none" w:sz="0" w:space="0" w:color="auto"/>
        <w:right w:val="none" w:sz="0" w:space="0" w:color="auto"/>
      </w:divBdr>
    </w:div>
    <w:div w:id="1501772233">
      <w:bodyDiv w:val="1"/>
      <w:marLeft w:val="0"/>
      <w:marRight w:val="0"/>
      <w:marTop w:val="0"/>
      <w:marBottom w:val="0"/>
      <w:divBdr>
        <w:top w:val="none" w:sz="0" w:space="0" w:color="auto"/>
        <w:left w:val="none" w:sz="0" w:space="0" w:color="auto"/>
        <w:bottom w:val="none" w:sz="0" w:space="0" w:color="auto"/>
        <w:right w:val="none" w:sz="0" w:space="0" w:color="auto"/>
      </w:divBdr>
    </w:div>
    <w:div w:id="1501964378">
      <w:bodyDiv w:val="1"/>
      <w:marLeft w:val="0"/>
      <w:marRight w:val="0"/>
      <w:marTop w:val="0"/>
      <w:marBottom w:val="0"/>
      <w:divBdr>
        <w:top w:val="none" w:sz="0" w:space="0" w:color="auto"/>
        <w:left w:val="none" w:sz="0" w:space="0" w:color="auto"/>
        <w:bottom w:val="none" w:sz="0" w:space="0" w:color="auto"/>
        <w:right w:val="none" w:sz="0" w:space="0" w:color="auto"/>
      </w:divBdr>
    </w:div>
    <w:div w:id="1527448459">
      <w:bodyDiv w:val="1"/>
      <w:marLeft w:val="0"/>
      <w:marRight w:val="0"/>
      <w:marTop w:val="0"/>
      <w:marBottom w:val="0"/>
      <w:divBdr>
        <w:top w:val="none" w:sz="0" w:space="0" w:color="auto"/>
        <w:left w:val="none" w:sz="0" w:space="0" w:color="auto"/>
        <w:bottom w:val="none" w:sz="0" w:space="0" w:color="auto"/>
        <w:right w:val="none" w:sz="0" w:space="0" w:color="auto"/>
      </w:divBdr>
    </w:div>
    <w:div w:id="1535733992">
      <w:bodyDiv w:val="1"/>
      <w:marLeft w:val="0"/>
      <w:marRight w:val="0"/>
      <w:marTop w:val="0"/>
      <w:marBottom w:val="0"/>
      <w:divBdr>
        <w:top w:val="none" w:sz="0" w:space="0" w:color="auto"/>
        <w:left w:val="none" w:sz="0" w:space="0" w:color="auto"/>
        <w:bottom w:val="none" w:sz="0" w:space="0" w:color="auto"/>
        <w:right w:val="none" w:sz="0" w:space="0" w:color="auto"/>
      </w:divBdr>
    </w:div>
    <w:div w:id="1556283445">
      <w:bodyDiv w:val="1"/>
      <w:marLeft w:val="0"/>
      <w:marRight w:val="0"/>
      <w:marTop w:val="0"/>
      <w:marBottom w:val="0"/>
      <w:divBdr>
        <w:top w:val="none" w:sz="0" w:space="0" w:color="auto"/>
        <w:left w:val="none" w:sz="0" w:space="0" w:color="auto"/>
        <w:bottom w:val="none" w:sz="0" w:space="0" w:color="auto"/>
        <w:right w:val="none" w:sz="0" w:space="0" w:color="auto"/>
      </w:divBdr>
    </w:div>
    <w:div w:id="1641570451">
      <w:bodyDiv w:val="1"/>
      <w:marLeft w:val="0"/>
      <w:marRight w:val="0"/>
      <w:marTop w:val="0"/>
      <w:marBottom w:val="0"/>
      <w:divBdr>
        <w:top w:val="none" w:sz="0" w:space="0" w:color="auto"/>
        <w:left w:val="none" w:sz="0" w:space="0" w:color="auto"/>
        <w:bottom w:val="none" w:sz="0" w:space="0" w:color="auto"/>
        <w:right w:val="none" w:sz="0" w:space="0" w:color="auto"/>
      </w:divBdr>
    </w:div>
    <w:div w:id="1648583793">
      <w:bodyDiv w:val="1"/>
      <w:marLeft w:val="0"/>
      <w:marRight w:val="0"/>
      <w:marTop w:val="0"/>
      <w:marBottom w:val="0"/>
      <w:divBdr>
        <w:top w:val="none" w:sz="0" w:space="0" w:color="auto"/>
        <w:left w:val="none" w:sz="0" w:space="0" w:color="auto"/>
        <w:bottom w:val="none" w:sz="0" w:space="0" w:color="auto"/>
        <w:right w:val="none" w:sz="0" w:space="0" w:color="auto"/>
      </w:divBdr>
    </w:div>
    <w:div w:id="1649820885">
      <w:bodyDiv w:val="1"/>
      <w:marLeft w:val="0"/>
      <w:marRight w:val="0"/>
      <w:marTop w:val="0"/>
      <w:marBottom w:val="0"/>
      <w:divBdr>
        <w:top w:val="none" w:sz="0" w:space="0" w:color="auto"/>
        <w:left w:val="none" w:sz="0" w:space="0" w:color="auto"/>
        <w:bottom w:val="none" w:sz="0" w:space="0" w:color="auto"/>
        <w:right w:val="none" w:sz="0" w:space="0" w:color="auto"/>
      </w:divBdr>
    </w:div>
    <w:div w:id="1752920940">
      <w:bodyDiv w:val="1"/>
      <w:marLeft w:val="0"/>
      <w:marRight w:val="0"/>
      <w:marTop w:val="0"/>
      <w:marBottom w:val="0"/>
      <w:divBdr>
        <w:top w:val="none" w:sz="0" w:space="0" w:color="auto"/>
        <w:left w:val="none" w:sz="0" w:space="0" w:color="auto"/>
        <w:bottom w:val="none" w:sz="0" w:space="0" w:color="auto"/>
        <w:right w:val="none" w:sz="0" w:space="0" w:color="auto"/>
      </w:divBdr>
    </w:div>
    <w:div w:id="1778526493">
      <w:bodyDiv w:val="1"/>
      <w:marLeft w:val="0"/>
      <w:marRight w:val="0"/>
      <w:marTop w:val="0"/>
      <w:marBottom w:val="0"/>
      <w:divBdr>
        <w:top w:val="none" w:sz="0" w:space="0" w:color="auto"/>
        <w:left w:val="none" w:sz="0" w:space="0" w:color="auto"/>
        <w:bottom w:val="none" w:sz="0" w:space="0" w:color="auto"/>
        <w:right w:val="none" w:sz="0" w:space="0" w:color="auto"/>
      </w:divBdr>
    </w:div>
    <w:div w:id="1938636288">
      <w:bodyDiv w:val="1"/>
      <w:marLeft w:val="0"/>
      <w:marRight w:val="0"/>
      <w:marTop w:val="0"/>
      <w:marBottom w:val="0"/>
      <w:divBdr>
        <w:top w:val="none" w:sz="0" w:space="0" w:color="auto"/>
        <w:left w:val="none" w:sz="0" w:space="0" w:color="auto"/>
        <w:bottom w:val="none" w:sz="0" w:space="0" w:color="auto"/>
        <w:right w:val="none" w:sz="0" w:space="0" w:color="auto"/>
      </w:divBdr>
    </w:div>
    <w:div w:id="1944872269">
      <w:bodyDiv w:val="1"/>
      <w:marLeft w:val="0"/>
      <w:marRight w:val="0"/>
      <w:marTop w:val="0"/>
      <w:marBottom w:val="0"/>
      <w:divBdr>
        <w:top w:val="none" w:sz="0" w:space="0" w:color="auto"/>
        <w:left w:val="none" w:sz="0" w:space="0" w:color="auto"/>
        <w:bottom w:val="none" w:sz="0" w:space="0" w:color="auto"/>
        <w:right w:val="none" w:sz="0" w:space="0" w:color="auto"/>
      </w:divBdr>
    </w:div>
    <w:div w:id="212915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D16C0-6A99-46F6-A208-5AF7C3D3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12</Pages>
  <Words>3985</Words>
  <Characters>22718</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Galizia</dc:creator>
  <cp:keywords/>
  <dc:description/>
  <cp:lastModifiedBy>Giulia Galizia</cp:lastModifiedBy>
  <cp:revision>108</cp:revision>
  <dcterms:created xsi:type="dcterms:W3CDTF">2018-11-27T09:33:00Z</dcterms:created>
  <dcterms:modified xsi:type="dcterms:W3CDTF">2018-12-06T14:52:00Z</dcterms:modified>
</cp:coreProperties>
</file>