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A1F8E" w14:textId="70D3E000" w:rsidR="00E34CF3" w:rsidRPr="00944F24" w:rsidRDefault="00B361BD" w:rsidP="00263A8D">
      <w:pPr>
        <w:pStyle w:val="Overskrift1"/>
        <w:rPr>
          <w:lang w:val="en-GB"/>
        </w:rPr>
      </w:pPr>
      <w:bookmarkStart w:id="0" w:name="_GoBack"/>
      <w:bookmarkEnd w:id="0"/>
      <w:r w:rsidRPr="00944F24">
        <w:rPr>
          <w:lang w:val="en-GB"/>
        </w:rPr>
        <w:t xml:space="preserve">Safety </w:t>
      </w:r>
      <w:r w:rsidR="005B2B01">
        <w:rPr>
          <w:lang w:val="en-GB"/>
        </w:rPr>
        <w:t xml:space="preserve">of </w:t>
      </w:r>
      <w:r w:rsidR="005B2B01" w:rsidRPr="00944F24">
        <w:rPr>
          <w:lang w:val="en-GB"/>
        </w:rPr>
        <w:t xml:space="preserve">intra-articular polyacrylamide hydrogel </w:t>
      </w:r>
      <w:r w:rsidR="00A921E2">
        <w:rPr>
          <w:lang w:val="en-GB"/>
        </w:rPr>
        <w:t xml:space="preserve">for the treatment of </w:t>
      </w:r>
      <w:r w:rsidRPr="00944F24">
        <w:rPr>
          <w:lang w:val="en-GB"/>
        </w:rPr>
        <w:t xml:space="preserve">knee osteoarthritis </w:t>
      </w:r>
      <w:r w:rsidR="00A921E2">
        <w:rPr>
          <w:lang w:val="en-GB"/>
        </w:rPr>
        <w:t>symptoms: A retrospective case series.</w:t>
      </w:r>
    </w:p>
    <w:p w14:paraId="5A55E60F" w14:textId="77777777" w:rsidR="00B361BD" w:rsidRPr="001A1B64" w:rsidRDefault="00B361BD" w:rsidP="004F742F">
      <w:pPr>
        <w:spacing w:after="0" w:line="480" w:lineRule="auto"/>
        <w:rPr>
          <w:i/>
          <w:lang w:val="en-US"/>
        </w:rPr>
      </w:pPr>
    </w:p>
    <w:p w14:paraId="0CC1FA12" w14:textId="5B250020" w:rsidR="00E96112" w:rsidRPr="001A1B64" w:rsidRDefault="00E96112" w:rsidP="00E96112">
      <w:pPr>
        <w:rPr>
          <w:rFonts w:cs="Times New Roman"/>
        </w:rPr>
      </w:pPr>
      <w:r w:rsidRPr="001A1B64">
        <w:rPr>
          <w:rFonts w:cs="Times New Roman"/>
        </w:rPr>
        <w:t>Anders Overgaard</w:t>
      </w:r>
      <w:r w:rsidRPr="001A1B64">
        <w:rPr>
          <w:rFonts w:cs="Times New Roman"/>
          <w:vertAlign w:val="superscript"/>
        </w:rPr>
        <w:t>1</w:t>
      </w:r>
      <w:r w:rsidRPr="001A1B64">
        <w:rPr>
          <w:rFonts w:cs="Times New Roman"/>
        </w:rPr>
        <w:t xml:space="preserve">, </w:t>
      </w:r>
      <w:r w:rsidRPr="004F742F">
        <w:t>Henning Bliddal</w:t>
      </w:r>
      <w:r w:rsidRPr="001A1B64">
        <w:rPr>
          <w:rFonts w:cs="Times New Roman"/>
          <w:vertAlign w:val="superscript"/>
        </w:rPr>
        <w:t>1</w:t>
      </w:r>
      <w:r w:rsidRPr="001A1B64">
        <w:rPr>
          <w:rFonts w:cs="Times New Roman"/>
        </w:rPr>
        <w:t xml:space="preserve">, </w:t>
      </w:r>
      <w:r w:rsidRPr="004F742F">
        <w:t>Marius Henriksen</w:t>
      </w:r>
      <w:r w:rsidRPr="001A1B64">
        <w:rPr>
          <w:rFonts w:cs="Times New Roman"/>
          <w:vertAlign w:val="superscript"/>
        </w:rPr>
        <w:t>1</w:t>
      </w:r>
      <w:r w:rsidRPr="001A1B64">
        <w:rPr>
          <w:rFonts w:cs="Times New Roman"/>
        </w:rPr>
        <w:t xml:space="preserve"> </w:t>
      </w:r>
    </w:p>
    <w:p w14:paraId="08A329DB" w14:textId="03385A52" w:rsidR="00E96112" w:rsidRPr="009B025A" w:rsidRDefault="00E96112" w:rsidP="00E96112">
      <w:pPr>
        <w:autoSpaceDE w:val="0"/>
        <w:autoSpaceDN w:val="0"/>
        <w:adjustRightInd w:val="0"/>
        <w:spacing w:after="0" w:line="240" w:lineRule="auto"/>
        <w:rPr>
          <w:rFonts w:cs="AdvOTb92eb7df.I"/>
          <w:lang w:val="en-US"/>
        </w:rPr>
      </w:pPr>
      <w:r w:rsidRPr="000F6DD7">
        <w:rPr>
          <w:rFonts w:cs="Times New Roman"/>
          <w:vertAlign w:val="superscript"/>
          <w:lang w:val="en-US"/>
        </w:rPr>
        <w:t>1</w:t>
      </w:r>
      <w:r w:rsidRPr="000F6DD7">
        <w:rPr>
          <w:rFonts w:cs="Times New Roman"/>
          <w:lang w:val="en-US"/>
        </w:rPr>
        <w:t xml:space="preserve">The Parker Institute, Copenhagen University Hospital </w:t>
      </w:r>
      <w:proofErr w:type="spellStart"/>
      <w:r w:rsidRPr="000F6DD7">
        <w:rPr>
          <w:rFonts w:cs="Times New Roman"/>
          <w:lang w:val="en-US"/>
        </w:rPr>
        <w:t>Fredriksberg</w:t>
      </w:r>
      <w:proofErr w:type="spellEnd"/>
      <w:r w:rsidRPr="000F6DD7">
        <w:rPr>
          <w:rFonts w:cs="Times New Roman"/>
          <w:lang w:val="en-US"/>
        </w:rPr>
        <w:t xml:space="preserve">, Copenhagen, Denmark </w:t>
      </w:r>
    </w:p>
    <w:p w14:paraId="76897B91" w14:textId="77777777" w:rsidR="00E96112" w:rsidRPr="000F6DD7" w:rsidRDefault="00E96112" w:rsidP="00E96112">
      <w:pPr>
        <w:autoSpaceDE w:val="0"/>
        <w:autoSpaceDN w:val="0"/>
        <w:adjustRightInd w:val="0"/>
        <w:spacing w:after="0" w:line="240" w:lineRule="auto"/>
        <w:rPr>
          <w:rFonts w:cs="AdvOTb92eb7df.I"/>
          <w:lang w:val="en-US"/>
        </w:rPr>
      </w:pPr>
    </w:p>
    <w:p w14:paraId="13564EAF" w14:textId="77777777" w:rsidR="00E96112" w:rsidRDefault="00E96112" w:rsidP="00E96112">
      <w:pPr>
        <w:autoSpaceDE w:val="0"/>
        <w:autoSpaceDN w:val="0"/>
        <w:adjustRightInd w:val="0"/>
        <w:spacing w:after="0" w:line="240" w:lineRule="auto"/>
        <w:rPr>
          <w:rFonts w:ascii="AdvOTb92eb7df.I" w:hAnsi="AdvOTb92eb7df.I" w:cs="AdvOTb92eb7df.I"/>
          <w:sz w:val="13"/>
          <w:szCs w:val="13"/>
          <w:lang w:val="en-US"/>
        </w:rPr>
      </w:pPr>
    </w:p>
    <w:p w14:paraId="71153D5A" w14:textId="59007FB7" w:rsidR="00E96112" w:rsidRPr="000F6DD7" w:rsidRDefault="00E96112" w:rsidP="00E96112">
      <w:pPr>
        <w:autoSpaceDE w:val="0"/>
        <w:autoSpaceDN w:val="0"/>
        <w:adjustRightInd w:val="0"/>
        <w:spacing w:after="0" w:line="240" w:lineRule="auto"/>
        <w:rPr>
          <w:rFonts w:ascii="AdvOTb92eb7df.I" w:hAnsi="AdvOTb92eb7df.I" w:cs="AdvOTb92eb7df.I"/>
          <w:sz w:val="13"/>
          <w:szCs w:val="13"/>
          <w:lang w:val="en-US"/>
        </w:rPr>
      </w:pPr>
      <w:r w:rsidRPr="000F6DD7">
        <w:rPr>
          <w:rFonts w:cs="Times New Roman"/>
          <w:lang w:val="en-US"/>
        </w:rPr>
        <w:t xml:space="preserve">Correspondence: </w:t>
      </w:r>
      <w:r w:rsidR="001A1B64">
        <w:rPr>
          <w:rStyle w:val="bidi"/>
          <w:rFonts w:cs="Times New Roman"/>
          <w:lang w:val="en-US"/>
        </w:rPr>
        <w:t>henning.bliddal</w:t>
      </w:r>
      <w:r w:rsidRPr="000F6DD7">
        <w:rPr>
          <w:rStyle w:val="bidi"/>
          <w:rFonts w:cs="Times New Roman"/>
          <w:lang w:val="en-US"/>
        </w:rPr>
        <w:t>@</w:t>
      </w:r>
      <w:r>
        <w:rPr>
          <w:rStyle w:val="bidi"/>
          <w:rFonts w:cs="Times New Roman"/>
          <w:lang w:val="en-US"/>
        </w:rPr>
        <w:t>regionh.dk</w:t>
      </w:r>
    </w:p>
    <w:p w14:paraId="2C67B587" w14:textId="77777777" w:rsidR="006879DA" w:rsidRPr="001A1B64" w:rsidRDefault="006879DA" w:rsidP="004F742F">
      <w:pPr>
        <w:spacing w:after="0" w:line="480" w:lineRule="auto"/>
        <w:rPr>
          <w:i/>
          <w:lang w:val="en-US"/>
        </w:rPr>
      </w:pPr>
      <w:r w:rsidRPr="001A1B64">
        <w:rPr>
          <w:i/>
          <w:lang w:val="en-US"/>
        </w:rPr>
        <w:br w:type="page"/>
      </w:r>
    </w:p>
    <w:p w14:paraId="21ABBAFC" w14:textId="77777777" w:rsidR="006879DA" w:rsidRPr="00944F24" w:rsidRDefault="006879DA" w:rsidP="00263A8D">
      <w:pPr>
        <w:pStyle w:val="Overskrift2"/>
        <w:rPr>
          <w:lang w:val="en-GB"/>
        </w:rPr>
      </w:pPr>
      <w:r w:rsidRPr="00944F24">
        <w:rPr>
          <w:lang w:val="en-GB"/>
        </w:rPr>
        <w:lastRenderedPageBreak/>
        <w:t>ABSTRACT</w:t>
      </w:r>
    </w:p>
    <w:p w14:paraId="54311F33" w14:textId="4CF67731" w:rsidR="006879DA" w:rsidRPr="00944F24" w:rsidRDefault="006879DA" w:rsidP="004F742F">
      <w:pPr>
        <w:spacing w:after="0" w:line="480" w:lineRule="auto"/>
        <w:rPr>
          <w:lang w:val="en-GB"/>
        </w:rPr>
      </w:pPr>
      <w:r w:rsidRPr="00944F24">
        <w:rPr>
          <w:b/>
          <w:i/>
          <w:lang w:val="en-GB"/>
        </w:rPr>
        <w:t>Objective</w:t>
      </w:r>
      <w:r w:rsidR="00B361BD" w:rsidRPr="00944F24">
        <w:rPr>
          <w:lang w:val="en-GB"/>
        </w:rPr>
        <w:t>: To assess the</w:t>
      </w:r>
      <w:r w:rsidR="00900A60" w:rsidRPr="00944F24">
        <w:rPr>
          <w:lang w:val="en-GB"/>
        </w:rPr>
        <w:t xml:space="preserve"> </w:t>
      </w:r>
      <w:r w:rsidR="00B361BD" w:rsidRPr="00944F24">
        <w:rPr>
          <w:lang w:val="en-GB"/>
        </w:rPr>
        <w:t>safety</w:t>
      </w:r>
      <w:r w:rsidR="00C72002" w:rsidRPr="00944F24">
        <w:rPr>
          <w:lang w:val="en-GB"/>
        </w:rPr>
        <w:t xml:space="preserve"> </w:t>
      </w:r>
      <w:r w:rsidR="00B361BD" w:rsidRPr="00944F24">
        <w:rPr>
          <w:lang w:val="en-GB"/>
        </w:rPr>
        <w:t xml:space="preserve">intra-articular (IA) </w:t>
      </w:r>
      <w:r w:rsidRPr="00944F24">
        <w:rPr>
          <w:lang w:val="en-GB"/>
        </w:rPr>
        <w:t>polyacrylamide gel (</w:t>
      </w:r>
      <w:r w:rsidR="00B361BD" w:rsidRPr="00944F24">
        <w:rPr>
          <w:lang w:val="en-GB"/>
        </w:rPr>
        <w:t>PAAG</w:t>
      </w:r>
      <w:r w:rsidRPr="00944F24">
        <w:rPr>
          <w:lang w:val="en-GB"/>
        </w:rPr>
        <w:t>)</w:t>
      </w:r>
      <w:r w:rsidR="00B361BD" w:rsidRPr="00944F24">
        <w:rPr>
          <w:lang w:val="en-GB"/>
        </w:rPr>
        <w:t xml:space="preserve"> treatment for knee OA symptoms</w:t>
      </w:r>
      <w:r w:rsidR="00FD45F1" w:rsidRPr="00944F24">
        <w:rPr>
          <w:lang w:val="en-GB"/>
        </w:rPr>
        <w:t>.</w:t>
      </w:r>
      <w:r w:rsidR="00E34CF3" w:rsidRPr="00944F24">
        <w:rPr>
          <w:lang w:val="en-GB"/>
        </w:rPr>
        <w:t xml:space="preserve"> </w:t>
      </w:r>
    </w:p>
    <w:p w14:paraId="7B86D691" w14:textId="5A5556DE" w:rsidR="00E34CF3" w:rsidRPr="00944F24" w:rsidRDefault="00E34CF3" w:rsidP="004F742F">
      <w:pPr>
        <w:spacing w:after="0" w:line="480" w:lineRule="auto"/>
        <w:rPr>
          <w:lang w:val="en-GB"/>
        </w:rPr>
      </w:pPr>
      <w:r w:rsidRPr="00944F24">
        <w:rPr>
          <w:b/>
          <w:lang w:val="en-GB"/>
        </w:rPr>
        <w:t>Met</w:t>
      </w:r>
      <w:r w:rsidR="00B361BD" w:rsidRPr="00944F24">
        <w:rPr>
          <w:b/>
          <w:lang w:val="en-GB"/>
        </w:rPr>
        <w:t>h</w:t>
      </w:r>
      <w:r w:rsidRPr="00944F24">
        <w:rPr>
          <w:b/>
          <w:lang w:val="en-GB"/>
        </w:rPr>
        <w:t>ods</w:t>
      </w:r>
      <w:r w:rsidR="00B361BD" w:rsidRPr="00944F24">
        <w:rPr>
          <w:lang w:val="en-GB"/>
        </w:rPr>
        <w:t xml:space="preserve">: </w:t>
      </w:r>
      <w:r w:rsidR="00392FDD">
        <w:rPr>
          <w:lang w:val="en-GB"/>
        </w:rPr>
        <w:t>A</w:t>
      </w:r>
      <w:r w:rsidR="00FD45F1" w:rsidRPr="00944F24">
        <w:rPr>
          <w:lang w:val="en-GB"/>
        </w:rPr>
        <w:t xml:space="preserve"> </w:t>
      </w:r>
      <w:r w:rsidR="00073114">
        <w:rPr>
          <w:lang w:val="en-GB"/>
        </w:rPr>
        <w:t>case series</w:t>
      </w:r>
      <w:r w:rsidR="00073114" w:rsidRPr="00944F24">
        <w:rPr>
          <w:lang w:val="en-GB"/>
        </w:rPr>
        <w:t xml:space="preserve"> </w:t>
      </w:r>
      <w:r w:rsidR="00FD45F1" w:rsidRPr="00944F24">
        <w:rPr>
          <w:lang w:val="en-GB"/>
        </w:rPr>
        <w:t>of patients</w:t>
      </w:r>
      <w:r w:rsidR="00392FDD">
        <w:rPr>
          <w:lang w:val="en-GB"/>
        </w:rPr>
        <w:t xml:space="preserve"> was studied,</w:t>
      </w:r>
      <w:r w:rsidR="00FD45F1" w:rsidRPr="00944F24">
        <w:rPr>
          <w:lang w:val="en-GB"/>
        </w:rPr>
        <w:t xml:space="preserve"> who had been treated </w:t>
      </w:r>
      <w:r w:rsidR="00073114">
        <w:rPr>
          <w:lang w:val="en-GB"/>
        </w:rPr>
        <w:t xml:space="preserve">with </w:t>
      </w:r>
      <w:r w:rsidR="006879DA" w:rsidRPr="00944F24">
        <w:rPr>
          <w:lang w:val="en-GB"/>
        </w:rPr>
        <w:t>intra-articular</w:t>
      </w:r>
      <w:r w:rsidR="00073114">
        <w:rPr>
          <w:lang w:val="en-GB"/>
        </w:rPr>
        <w:t xml:space="preserve"> injection of</w:t>
      </w:r>
      <w:r w:rsidR="00FD45F1" w:rsidRPr="00944F24">
        <w:rPr>
          <w:lang w:val="en-GB"/>
        </w:rPr>
        <w:t xml:space="preserve"> 2.5 % polyacrylamide hydrogel between March 2010 and February 2017. </w:t>
      </w:r>
      <w:r w:rsidR="00B361BD" w:rsidRPr="00944F24">
        <w:rPr>
          <w:lang w:val="en-GB"/>
        </w:rPr>
        <w:t xml:space="preserve">Safety assessments </w:t>
      </w:r>
      <w:r w:rsidR="00392FDD">
        <w:rPr>
          <w:lang w:val="en-GB"/>
        </w:rPr>
        <w:t xml:space="preserve">were performed at follow-up and </w:t>
      </w:r>
      <w:r w:rsidR="00B361BD" w:rsidRPr="00944F24">
        <w:rPr>
          <w:lang w:val="en-GB"/>
        </w:rPr>
        <w:t xml:space="preserve">included </w:t>
      </w:r>
      <w:r w:rsidR="00073114">
        <w:rPr>
          <w:lang w:val="en-GB"/>
        </w:rPr>
        <w:t>patient</w:t>
      </w:r>
      <w:r w:rsidR="00C72002" w:rsidRPr="00944F24">
        <w:rPr>
          <w:lang w:val="en-GB"/>
        </w:rPr>
        <w:t xml:space="preserve">-reported </w:t>
      </w:r>
      <w:r w:rsidR="00B361BD" w:rsidRPr="00944F24">
        <w:rPr>
          <w:lang w:val="en-GB"/>
        </w:rPr>
        <w:t xml:space="preserve">adverse events (AEs), </w:t>
      </w:r>
      <w:r w:rsidR="00FD45F1" w:rsidRPr="00944F24">
        <w:rPr>
          <w:lang w:val="en-GB"/>
        </w:rPr>
        <w:t>medical records</w:t>
      </w:r>
      <w:r w:rsidR="00C72002" w:rsidRPr="00944F24">
        <w:rPr>
          <w:lang w:val="en-GB"/>
        </w:rPr>
        <w:t xml:space="preserve"> </w:t>
      </w:r>
      <w:r w:rsidR="00073114">
        <w:rPr>
          <w:lang w:val="en-GB"/>
        </w:rPr>
        <w:t xml:space="preserve">review, </w:t>
      </w:r>
      <w:r w:rsidR="00392FDD">
        <w:rPr>
          <w:lang w:val="en-GB"/>
        </w:rPr>
        <w:t xml:space="preserve">radiograms, </w:t>
      </w:r>
      <w:r w:rsidR="00C72002" w:rsidRPr="00944F24">
        <w:rPr>
          <w:lang w:val="en-GB"/>
        </w:rPr>
        <w:t xml:space="preserve">and </w:t>
      </w:r>
      <w:r w:rsidR="00073114">
        <w:rPr>
          <w:lang w:val="en-GB"/>
        </w:rPr>
        <w:t xml:space="preserve">a </w:t>
      </w:r>
      <w:r w:rsidR="00C72002" w:rsidRPr="00944F24">
        <w:rPr>
          <w:lang w:val="en-GB"/>
        </w:rPr>
        <w:t xml:space="preserve">clinical examination of </w:t>
      </w:r>
      <w:r w:rsidR="006879DA" w:rsidRPr="00944F24">
        <w:rPr>
          <w:lang w:val="en-GB"/>
        </w:rPr>
        <w:t xml:space="preserve">the treated </w:t>
      </w:r>
      <w:r w:rsidR="00C72002" w:rsidRPr="00944F24">
        <w:rPr>
          <w:lang w:val="en-GB"/>
        </w:rPr>
        <w:t>knee</w:t>
      </w:r>
      <w:r w:rsidR="00B361BD" w:rsidRPr="00944F24">
        <w:rPr>
          <w:lang w:val="en-GB"/>
        </w:rPr>
        <w:t xml:space="preserve">. </w:t>
      </w:r>
      <w:r w:rsidR="006879DA" w:rsidRPr="00944F24">
        <w:rPr>
          <w:lang w:val="en-GB"/>
        </w:rPr>
        <w:t>For patients</w:t>
      </w:r>
      <w:r w:rsidR="00392FDD">
        <w:rPr>
          <w:lang w:val="en-GB"/>
        </w:rPr>
        <w:t>,</w:t>
      </w:r>
      <w:r w:rsidR="006879DA" w:rsidRPr="00944F24">
        <w:rPr>
          <w:lang w:val="en-GB"/>
        </w:rPr>
        <w:t xml:space="preserve"> who had received knee arthroplasty surgery</w:t>
      </w:r>
      <w:r w:rsidR="00073114">
        <w:rPr>
          <w:lang w:val="en-GB"/>
        </w:rPr>
        <w:t xml:space="preserve"> since treatment</w:t>
      </w:r>
      <w:r w:rsidR="006879DA" w:rsidRPr="00944F24">
        <w:rPr>
          <w:lang w:val="en-GB"/>
        </w:rPr>
        <w:t xml:space="preserve">, the </w:t>
      </w:r>
      <w:r w:rsidR="00C72002" w:rsidRPr="00944F24">
        <w:rPr>
          <w:lang w:val="en-GB"/>
        </w:rPr>
        <w:t xml:space="preserve">surgical records </w:t>
      </w:r>
      <w:r w:rsidR="006879DA" w:rsidRPr="00944F24">
        <w:rPr>
          <w:lang w:val="en-GB"/>
        </w:rPr>
        <w:t>were reviewed</w:t>
      </w:r>
      <w:r w:rsidR="00073114">
        <w:rPr>
          <w:lang w:val="en-GB"/>
        </w:rPr>
        <w:t xml:space="preserve"> for any unexpected findings</w:t>
      </w:r>
      <w:r w:rsidR="006879DA" w:rsidRPr="00944F24">
        <w:rPr>
          <w:lang w:val="en-GB"/>
        </w:rPr>
        <w:t>.</w:t>
      </w:r>
      <w:r w:rsidR="00C72002" w:rsidRPr="00944F24">
        <w:rPr>
          <w:lang w:val="en-GB"/>
        </w:rPr>
        <w:t xml:space="preserve"> </w:t>
      </w:r>
    </w:p>
    <w:p w14:paraId="7EE28038" w14:textId="7ADEEC84" w:rsidR="00E34CF3" w:rsidRPr="00944F24" w:rsidRDefault="00E34CF3" w:rsidP="004F742F">
      <w:pPr>
        <w:spacing w:after="0" w:line="480" w:lineRule="auto"/>
        <w:rPr>
          <w:lang w:val="en-GB"/>
        </w:rPr>
      </w:pPr>
      <w:r w:rsidRPr="00944F24">
        <w:rPr>
          <w:b/>
          <w:lang w:val="en-GB"/>
        </w:rPr>
        <w:t>Results</w:t>
      </w:r>
      <w:r w:rsidR="00B361BD" w:rsidRPr="00944F24">
        <w:rPr>
          <w:lang w:val="en-GB"/>
        </w:rPr>
        <w:t xml:space="preserve">: </w:t>
      </w:r>
      <w:r w:rsidRPr="00944F24">
        <w:rPr>
          <w:lang w:val="en-GB"/>
        </w:rPr>
        <w:t xml:space="preserve"> </w:t>
      </w:r>
      <w:r w:rsidR="00B361BD" w:rsidRPr="00944F24">
        <w:rPr>
          <w:lang w:val="en-GB"/>
        </w:rPr>
        <w:t xml:space="preserve">Of </w:t>
      </w:r>
      <w:r w:rsidR="00620080" w:rsidRPr="00944F24">
        <w:rPr>
          <w:lang w:val="en-GB"/>
        </w:rPr>
        <w:t xml:space="preserve">128 </w:t>
      </w:r>
      <w:r w:rsidR="00073114">
        <w:rPr>
          <w:lang w:val="en-GB"/>
        </w:rPr>
        <w:t>invited patients</w:t>
      </w:r>
      <w:r w:rsidR="00B361BD" w:rsidRPr="00944F24">
        <w:rPr>
          <w:lang w:val="en-GB"/>
        </w:rPr>
        <w:t xml:space="preserve">, </w:t>
      </w:r>
      <w:r w:rsidR="00C72002" w:rsidRPr="00944F24">
        <w:rPr>
          <w:lang w:val="en-GB"/>
        </w:rPr>
        <w:t>91 (</w:t>
      </w:r>
      <w:r w:rsidR="004E3E84" w:rsidRPr="00944F24">
        <w:rPr>
          <w:lang w:val="en-GB"/>
        </w:rPr>
        <w:t>71</w:t>
      </w:r>
      <w:r w:rsidR="00C72002" w:rsidRPr="00944F24">
        <w:rPr>
          <w:lang w:val="en-GB"/>
        </w:rPr>
        <w:t>%) participated</w:t>
      </w:r>
      <w:r w:rsidR="00B361BD" w:rsidRPr="00944F24">
        <w:rPr>
          <w:lang w:val="en-GB"/>
        </w:rPr>
        <w:t xml:space="preserve">. </w:t>
      </w:r>
      <w:r w:rsidR="00073114">
        <w:rPr>
          <w:lang w:val="en-GB"/>
        </w:rPr>
        <w:t>The</w:t>
      </w:r>
      <w:r w:rsidR="00073114" w:rsidRPr="00944F24">
        <w:rPr>
          <w:lang w:val="en-GB"/>
        </w:rPr>
        <w:t xml:space="preserve"> </w:t>
      </w:r>
      <w:r w:rsidR="002C53AE" w:rsidRPr="00944F24">
        <w:rPr>
          <w:lang w:val="en-GB"/>
        </w:rPr>
        <w:t>majority (n=66</w:t>
      </w:r>
      <w:r w:rsidR="00073114">
        <w:rPr>
          <w:lang w:val="en-GB"/>
        </w:rPr>
        <w:t>, 73%</w:t>
      </w:r>
      <w:r w:rsidR="002C53AE" w:rsidRPr="00944F24">
        <w:rPr>
          <w:lang w:val="en-GB"/>
        </w:rPr>
        <w:t xml:space="preserve">) of </w:t>
      </w:r>
      <w:r w:rsidR="00073114">
        <w:rPr>
          <w:lang w:val="en-GB"/>
        </w:rPr>
        <w:t xml:space="preserve">the </w:t>
      </w:r>
      <w:r w:rsidR="002C53AE" w:rsidRPr="00944F24">
        <w:rPr>
          <w:lang w:val="en-GB"/>
        </w:rPr>
        <w:t>patients</w:t>
      </w:r>
      <w:r w:rsidR="00073114">
        <w:rPr>
          <w:lang w:val="en-GB"/>
        </w:rPr>
        <w:t xml:space="preserve"> </w:t>
      </w:r>
      <w:r w:rsidR="00392FDD">
        <w:rPr>
          <w:lang w:val="en-GB"/>
        </w:rPr>
        <w:t>had</w:t>
      </w:r>
      <w:r w:rsidR="00392FDD" w:rsidRPr="00944F24">
        <w:rPr>
          <w:lang w:val="en-GB"/>
        </w:rPr>
        <w:t xml:space="preserve"> </w:t>
      </w:r>
      <w:r w:rsidR="002C53AE" w:rsidRPr="00944F24">
        <w:rPr>
          <w:lang w:val="en-GB"/>
        </w:rPr>
        <w:t>no</w:t>
      </w:r>
      <w:r w:rsidR="00392FDD">
        <w:rPr>
          <w:lang w:val="en-GB"/>
        </w:rPr>
        <w:t>t experienced</w:t>
      </w:r>
      <w:r w:rsidR="002C53AE" w:rsidRPr="00944F24">
        <w:rPr>
          <w:lang w:val="en-GB"/>
        </w:rPr>
        <w:t xml:space="preserve"> adverse events or discomfort </w:t>
      </w:r>
      <w:r w:rsidR="00073114">
        <w:rPr>
          <w:lang w:val="en-GB"/>
        </w:rPr>
        <w:t xml:space="preserve">in relation to </w:t>
      </w:r>
      <w:r w:rsidR="002C53AE" w:rsidRPr="00944F24">
        <w:rPr>
          <w:lang w:val="en-GB"/>
        </w:rPr>
        <w:t xml:space="preserve">receiving single or multiple treatments with PAAG. 15 </w:t>
      </w:r>
      <w:r w:rsidR="00392FDD">
        <w:rPr>
          <w:lang w:val="en-GB"/>
        </w:rPr>
        <w:t xml:space="preserve">patients recalled </w:t>
      </w:r>
      <w:r w:rsidR="002C53AE" w:rsidRPr="00944F24">
        <w:rPr>
          <w:lang w:val="en-GB"/>
        </w:rPr>
        <w:t xml:space="preserve">a sensation of distention </w:t>
      </w:r>
      <w:r w:rsidR="00392FDD">
        <w:rPr>
          <w:lang w:val="en-GB"/>
        </w:rPr>
        <w:t xml:space="preserve">of the knee joint </w:t>
      </w:r>
      <w:r w:rsidR="002C53AE" w:rsidRPr="00944F24">
        <w:rPr>
          <w:lang w:val="en-GB"/>
        </w:rPr>
        <w:t xml:space="preserve">after </w:t>
      </w:r>
      <w:r w:rsidR="00073114">
        <w:rPr>
          <w:lang w:val="en-GB"/>
        </w:rPr>
        <w:t xml:space="preserve">the </w:t>
      </w:r>
      <w:r w:rsidR="002C53AE" w:rsidRPr="00944F24">
        <w:rPr>
          <w:lang w:val="en-GB"/>
        </w:rPr>
        <w:t>treatment</w:t>
      </w:r>
      <w:r w:rsidR="00392FDD">
        <w:rPr>
          <w:lang w:val="en-GB"/>
        </w:rPr>
        <w:t xml:space="preserve">, while in </w:t>
      </w:r>
      <w:r w:rsidR="002C53AE" w:rsidRPr="00944F24">
        <w:rPr>
          <w:lang w:val="en-GB"/>
        </w:rPr>
        <w:t>14</w:t>
      </w:r>
      <w:r w:rsidR="00392FDD">
        <w:rPr>
          <w:lang w:val="en-GB"/>
        </w:rPr>
        <w:t xml:space="preserve"> (</w:t>
      </w:r>
      <w:r w:rsidR="002C53AE" w:rsidRPr="00944F24">
        <w:rPr>
          <w:lang w:val="en-GB"/>
        </w:rPr>
        <w:t xml:space="preserve"> 93%) this </w:t>
      </w:r>
      <w:r w:rsidR="00392FDD">
        <w:rPr>
          <w:lang w:val="en-GB"/>
        </w:rPr>
        <w:t>w</w:t>
      </w:r>
      <w:r w:rsidR="002C53AE" w:rsidRPr="00944F24">
        <w:rPr>
          <w:lang w:val="en-GB"/>
        </w:rPr>
        <w:t xml:space="preserve">as passing  </w:t>
      </w:r>
      <w:r w:rsidR="00392FDD">
        <w:rPr>
          <w:lang w:val="en-GB"/>
        </w:rPr>
        <w:t xml:space="preserve">within </w:t>
      </w:r>
      <w:r w:rsidR="002C53AE" w:rsidRPr="00944F24">
        <w:rPr>
          <w:lang w:val="en-GB"/>
        </w:rPr>
        <w:t xml:space="preserve">days to weeks. 10 patients (67%) described this </w:t>
      </w:r>
      <w:r w:rsidR="00073114">
        <w:rPr>
          <w:lang w:val="en-GB"/>
        </w:rPr>
        <w:t xml:space="preserve">sensation </w:t>
      </w:r>
      <w:r w:rsidR="002C53AE" w:rsidRPr="00944F24">
        <w:rPr>
          <w:lang w:val="en-GB"/>
        </w:rPr>
        <w:t>as mild.</w:t>
      </w:r>
      <w:r w:rsidR="0057388A" w:rsidRPr="00944F24">
        <w:rPr>
          <w:lang w:val="en-GB"/>
        </w:rPr>
        <w:t xml:space="preserve"> Two patients sought medical assistance after treatment with </w:t>
      </w:r>
      <w:r w:rsidR="00791B02">
        <w:rPr>
          <w:lang w:val="en-GB"/>
        </w:rPr>
        <w:t>IA</w:t>
      </w:r>
      <w:r w:rsidR="0057388A" w:rsidRPr="00944F24">
        <w:rPr>
          <w:lang w:val="en-GB"/>
        </w:rPr>
        <w:t xml:space="preserve"> PAAG</w:t>
      </w:r>
      <w:r w:rsidR="00073114">
        <w:rPr>
          <w:lang w:val="en-GB"/>
        </w:rPr>
        <w:t xml:space="preserve"> due to aggravated pain and effusion, </w:t>
      </w:r>
      <w:r w:rsidR="00AD5060">
        <w:rPr>
          <w:lang w:val="en-GB"/>
        </w:rPr>
        <w:t xml:space="preserve">likely to be related </w:t>
      </w:r>
      <w:r w:rsidR="0057388A" w:rsidRPr="00944F24">
        <w:rPr>
          <w:lang w:val="en-GB"/>
        </w:rPr>
        <w:t>to the treatment</w:t>
      </w:r>
      <w:r w:rsidR="00073114">
        <w:rPr>
          <w:lang w:val="en-GB"/>
        </w:rPr>
        <w:t>.</w:t>
      </w:r>
      <w:r w:rsidR="0057388A" w:rsidRPr="00944F24">
        <w:rPr>
          <w:lang w:val="en-GB"/>
        </w:rPr>
        <w:t xml:space="preserve"> </w:t>
      </w:r>
      <w:r w:rsidR="00073114">
        <w:rPr>
          <w:lang w:val="en-GB"/>
        </w:rPr>
        <w:t xml:space="preserve">These patients were </w:t>
      </w:r>
      <w:r w:rsidR="0057388A" w:rsidRPr="00944F24">
        <w:rPr>
          <w:lang w:val="en-GB"/>
        </w:rPr>
        <w:t xml:space="preserve">treated </w:t>
      </w:r>
      <w:r w:rsidR="00073114">
        <w:rPr>
          <w:lang w:val="en-GB"/>
        </w:rPr>
        <w:t xml:space="preserve">medically resulting in </w:t>
      </w:r>
      <w:r w:rsidR="0057388A" w:rsidRPr="00944F24">
        <w:rPr>
          <w:lang w:val="en-GB"/>
        </w:rPr>
        <w:t xml:space="preserve">no lasting </w:t>
      </w:r>
      <w:r w:rsidR="00D34F96">
        <w:rPr>
          <w:lang w:val="en-GB"/>
        </w:rPr>
        <w:t xml:space="preserve">adverse </w:t>
      </w:r>
      <w:r w:rsidR="0057388A" w:rsidRPr="00944F24">
        <w:rPr>
          <w:lang w:val="en-GB"/>
        </w:rPr>
        <w:t xml:space="preserve">effect. </w:t>
      </w:r>
      <w:r w:rsidR="00392FDD">
        <w:rPr>
          <w:lang w:val="en-GB"/>
        </w:rPr>
        <w:t>Neither</w:t>
      </w:r>
      <w:r w:rsidR="00392FDD" w:rsidRPr="00944F24">
        <w:rPr>
          <w:lang w:val="en-GB"/>
        </w:rPr>
        <w:t xml:space="preserve"> </w:t>
      </w:r>
      <w:r w:rsidR="00791B02">
        <w:rPr>
          <w:lang w:val="en-GB"/>
        </w:rPr>
        <w:t>IA</w:t>
      </w:r>
      <w:r w:rsidR="00073114" w:rsidRPr="00944F24">
        <w:rPr>
          <w:lang w:val="en-GB"/>
        </w:rPr>
        <w:t xml:space="preserve"> infections </w:t>
      </w:r>
      <w:r w:rsidR="00392FDD">
        <w:rPr>
          <w:lang w:val="en-GB"/>
        </w:rPr>
        <w:t>n</w:t>
      </w:r>
      <w:r w:rsidR="00073114" w:rsidRPr="00944F24">
        <w:rPr>
          <w:lang w:val="en-GB"/>
        </w:rPr>
        <w:t>or allergic reactions were reported.</w:t>
      </w:r>
      <w:r w:rsidR="008E6F53" w:rsidRPr="00944F24">
        <w:rPr>
          <w:lang w:val="en-GB"/>
        </w:rPr>
        <w:t xml:space="preserve"> </w:t>
      </w:r>
    </w:p>
    <w:p w14:paraId="525DD4CF" w14:textId="565D0D90" w:rsidR="0057388A" w:rsidRPr="00944F24" w:rsidRDefault="00B361BD" w:rsidP="004F742F">
      <w:pPr>
        <w:spacing w:after="0" w:line="480" w:lineRule="auto"/>
        <w:rPr>
          <w:lang w:val="en-GB"/>
        </w:rPr>
      </w:pPr>
      <w:r w:rsidRPr="00944F24">
        <w:rPr>
          <w:b/>
          <w:lang w:val="en-GB"/>
        </w:rPr>
        <w:t>Conclusion</w:t>
      </w:r>
      <w:r w:rsidRPr="00944F24">
        <w:rPr>
          <w:lang w:val="en-GB"/>
        </w:rPr>
        <w:t xml:space="preserve">: </w:t>
      </w:r>
      <w:r w:rsidR="00E34CF3" w:rsidRPr="00944F24">
        <w:rPr>
          <w:lang w:val="en-GB"/>
        </w:rPr>
        <w:t xml:space="preserve"> </w:t>
      </w:r>
      <w:r w:rsidR="00392FDD">
        <w:rPr>
          <w:lang w:val="en-GB"/>
        </w:rPr>
        <w:t>N</w:t>
      </w:r>
      <w:r w:rsidR="0057388A" w:rsidRPr="00944F24">
        <w:rPr>
          <w:lang w:val="en-GB"/>
        </w:rPr>
        <w:t xml:space="preserve">o significant incidence </w:t>
      </w:r>
      <w:r w:rsidR="00392FDD">
        <w:rPr>
          <w:lang w:val="en-GB"/>
        </w:rPr>
        <w:t xml:space="preserve">was noted </w:t>
      </w:r>
      <w:r w:rsidR="0057388A" w:rsidRPr="00944F24">
        <w:rPr>
          <w:lang w:val="en-GB"/>
        </w:rPr>
        <w:t xml:space="preserve">of serious adverse events related to </w:t>
      </w:r>
      <w:r w:rsidR="00791B02">
        <w:rPr>
          <w:lang w:val="en-GB"/>
        </w:rPr>
        <w:t>IA</w:t>
      </w:r>
      <w:r w:rsidR="0057388A" w:rsidRPr="00944F24">
        <w:rPr>
          <w:lang w:val="en-GB"/>
        </w:rPr>
        <w:t xml:space="preserve"> treatment with a proprietary 2.5 % cross-linked polyacrylamide gel</w:t>
      </w:r>
      <w:r w:rsidR="00D70AE9">
        <w:rPr>
          <w:lang w:val="en-GB"/>
        </w:rPr>
        <w:t>. The gel seems to have a potential</w:t>
      </w:r>
      <w:r w:rsidR="0057388A" w:rsidRPr="00944F24">
        <w:rPr>
          <w:lang w:val="en-GB"/>
        </w:rPr>
        <w:t xml:space="preserve"> for the relief of knee osteoarthritis pain and disability.</w:t>
      </w:r>
      <w:r w:rsidR="006879DA" w:rsidRPr="00944F24">
        <w:rPr>
          <w:lang w:val="en-GB"/>
        </w:rPr>
        <w:t xml:space="preserve"> </w:t>
      </w:r>
    </w:p>
    <w:p w14:paraId="74B9FBC3" w14:textId="77777777" w:rsidR="0057388A" w:rsidRPr="00944F24" w:rsidRDefault="0057388A" w:rsidP="004F742F">
      <w:pPr>
        <w:spacing w:after="0" w:line="480" w:lineRule="auto"/>
        <w:rPr>
          <w:lang w:val="en-GB"/>
        </w:rPr>
      </w:pPr>
      <w:r w:rsidRPr="00944F24">
        <w:rPr>
          <w:lang w:val="en-GB"/>
        </w:rPr>
        <w:br w:type="page"/>
      </w:r>
    </w:p>
    <w:p w14:paraId="1DFC5DA1" w14:textId="2A0D5CBD" w:rsidR="00E34CF3" w:rsidRPr="00944F24" w:rsidRDefault="00FF660A" w:rsidP="00560E34">
      <w:pPr>
        <w:pStyle w:val="Overskrift2"/>
        <w:rPr>
          <w:lang w:val="en-GB"/>
        </w:rPr>
      </w:pPr>
      <w:r w:rsidRPr="00944F24">
        <w:rPr>
          <w:lang w:val="en-GB"/>
        </w:rPr>
        <w:lastRenderedPageBreak/>
        <w:t>INTRODUCTION</w:t>
      </w:r>
    </w:p>
    <w:p w14:paraId="75A0B1A4" w14:textId="635225E1" w:rsidR="00B361BD" w:rsidRPr="00944F24" w:rsidRDefault="00B361BD" w:rsidP="004F742F">
      <w:pPr>
        <w:spacing w:after="0" w:line="480" w:lineRule="auto"/>
        <w:rPr>
          <w:lang w:val="en-GB"/>
        </w:rPr>
      </w:pPr>
      <w:r w:rsidRPr="00944F24">
        <w:rPr>
          <w:lang w:val="en-GB"/>
        </w:rPr>
        <w:t xml:space="preserve">Osteoarthritis (OA) is </w:t>
      </w:r>
      <w:r w:rsidR="00FF660A" w:rsidRPr="00944F24">
        <w:rPr>
          <w:lang w:val="en-GB"/>
        </w:rPr>
        <w:t xml:space="preserve">a very common chronic disease </w:t>
      </w:r>
      <w:r w:rsidRPr="00944F24">
        <w:rPr>
          <w:lang w:val="en-GB"/>
        </w:rPr>
        <w:t>characteri</w:t>
      </w:r>
      <w:r w:rsidR="00AD5060">
        <w:rPr>
          <w:lang w:val="en-GB"/>
        </w:rPr>
        <w:t>z</w:t>
      </w:r>
      <w:r w:rsidRPr="00944F24">
        <w:rPr>
          <w:lang w:val="en-GB"/>
        </w:rPr>
        <w:t xml:space="preserve">ed by pain and physical disability </w:t>
      </w:r>
      <w:r w:rsidR="00287AEC">
        <w:rPr>
          <w:lang w:val="en-GB"/>
        </w:rPr>
        <w:t>[</w:t>
      </w:r>
      <w:r w:rsidRPr="00944F24">
        <w:rPr>
          <w:lang w:val="en-GB"/>
        </w:rPr>
        <w:t>1</w:t>
      </w:r>
      <w:r w:rsidR="00287AEC">
        <w:rPr>
          <w:lang w:val="en-GB"/>
        </w:rPr>
        <w:t>]</w:t>
      </w:r>
      <w:r w:rsidRPr="00944F24">
        <w:rPr>
          <w:lang w:val="en-GB"/>
        </w:rPr>
        <w:t xml:space="preserve">. More than 10% of persons 55 years of age or older have symptomatic osteoarthritis (OA), primarily involving the knees </w:t>
      </w:r>
      <w:r w:rsidR="00287AEC">
        <w:rPr>
          <w:lang w:val="en-GB"/>
        </w:rPr>
        <w:t>[</w:t>
      </w:r>
      <w:r w:rsidRPr="00944F24">
        <w:rPr>
          <w:lang w:val="en-GB"/>
        </w:rPr>
        <w:t>2</w:t>
      </w:r>
      <w:r w:rsidR="00287AEC">
        <w:rPr>
          <w:lang w:val="en-GB"/>
        </w:rPr>
        <w:t>]</w:t>
      </w:r>
      <w:r w:rsidRPr="00944F24">
        <w:rPr>
          <w:lang w:val="en-GB"/>
        </w:rPr>
        <w:t xml:space="preserve">. </w:t>
      </w:r>
      <w:r w:rsidR="00FF660A" w:rsidRPr="00944F24">
        <w:rPr>
          <w:lang w:val="en-GB"/>
        </w:rPr>
        <w:t>K</w:t>
      </w:r>
      <w:r w:rsidRPr="00944F24">
        <w:rPr>
          <w:lang w:val="en-GB"/>
        </w:rPr>
        <w:t xml:space="preserve">nee OA </w:t>
      </w:r>
      <w:r w:rsidR="00471D06" w:rsidRPr="00944F24">
        <w:rPr>
          <w:lang w:val="en-GB"/>
        </w:rPr>
        <w:t xml:space="preserve">is associated with </w:t>
      </w:r>
      <w:r w:rsidRPr="00944F24">
        <w:rPr>
          <w:lang w:val="en-GB"/>
        </w:rPr>
        <w:t xml:space="preserve">significant impairments and limitations in </w:t>
      </w:r>
      <w:r w:rsidR="00FF660A" w:rsidRPr="00944F24">
        <w:rPr>
          <w:lang w:val="en-GB"/>
        </w:rPr>
        <w:t>mobility</w:t>
      </w:r>
      <w:r w:rsidRPr="00944F24">
        <w:rPr>
          <w:lang w:val="en-GB"/>
        </w:rPr>
        <w:t>, self-care, and housekeeping activities</w:t>
      </w:r>
      <w:r w:rsidR="00471D06" w:rsidRPr="00944F24">
        <w:rPr>
          <w:lang w:val="en-GB"/>
        </w:rPr>
        <w:t>,</w:t>
      </w:r>
      <w:r w:rsidRPr="00944F24">
        <w:rPr>
          <w:lang w:val="en-GB"/>
        </w:rPr>
        <w:t xml:space="preserve"> as well as </w:t>
      </w:r>
      <w:r w:rsidR="00471D06" w:rsidRPr="00944F24">
        <w:rPr>
          <w:lang w:val="en-GB"/>
        </w:rPr>
        <w:t xml:space="preserve">limited participation in societal and recreational activities. Altogether this leads to </w:t>
      </w:r>
      <w:r w:rsidRPr="00944F24">
        <w:rPr>
          <w:lang w:val="en-GB"/>
        </w:rPr>
        <w:t>reduced quality of life</w:t>
      </w:r>
      <w:r w:rsidR="00471D06" w:rsidRPr="00944F24">
        <w:rPr>
          <w:lang w:val="en-GB"/>
        </w:rPr>
        <w:t xml:space="preserve"> and dependency on other persons or aids</w:t>
      </w:r>
      <w:r w:rsidRPr="00944F24">
        <w:rPr>
          <w:lang w:val="en-GB"/>
        </w:rPr>
        <w:t xml:space="preserve">. </w:t>
      </w:r>
    </w:p>
    <w:p w14:paraId="30CBDDB6" w14:textId="52A41D6D" w:rsidR="00C64BAC" w:rsidRPr="00944F24" w:rsidRDefault="00C64BAC" w:rsidP="004F742F">
      <w:pPr>
        <w:spacing w:after="0" w:line="480" w:lineRule="auto"/>
        <w:rPr>
          <w:lang w:val="en-GB"/>
        </w:rPr>
      </w:pPr>
      <w:r w:rsidRPr="00944F24">
        <w:rPr>
          <w:lang w:val="en-GB"/>
        </w:rPr>
        <w:t>Although OA is a very common disease with serious individual and societal consequences, a cure has not yet been identified and management focus</w:t>
      </w:r>
      <w:r w:rsidR="005C4353" w:rsidRPr="00944F24">
        <w:rPr>
          <w:lang w:val="en-GB"/>
        </w:rPr>
        <w:t>es</w:t>
      </w:r>
      <w:r w:rsidRPr="00944F24">
        <w:rPr>
          <w:lang w:val="en-GB"/>
        </w:rPr>
        <w:t xml:space="preserve"> on symptom control</w:t>
      </w:r>
      <w:r w:rsidR="00D70AE9">
        <w:rPr>
          <w:lang w:val="en-GB"/>
        </w:rPr>
        <w:t xml:space="preserve"> and relief of pain</w:t>
      </w:r>
      <w:r w:rsidRPr="00944F24">
        <w:rPr>
          <w:lang w:val="en-GB"/>
        </w:rPr>
        <w:t xml:space="preserve">. </w:t>
      </w:r>
      <w:r w:rsidR="00287AEC">
        <w:rPr>
          <w:lang w:val="en-GB"/>
        </w:rPr>
        <w:t>E</w:t>
      </w:r>
      <w:r w:rsidR="00D70AE9">
        <w:rPr>
          <w:lang w:val="en-GB"/>
        </w:rPr>
        <w:t>ven for this purpose</w:t>
      </w:r>
      <w:r w:rsidR="00AD5060">
        <w:rPr>
          <w:lang w:val="en-GB"/>
        </w:rPr>
        <w:t>,</w:t>
      </w:r>
      <w:r w:rsidRPr="00944F24">
        <w:rPr>
          <w:lang w:val="en-GB"/>
        </w:rPr>
        <w:t xml:space="preserve"> </w:t>
      </w:r>
      <w:r w:rsidR="00D70AE9">
        <w:rPr>
          <w:lang w:val="en-GB"/>
        </w:rPr>
        <w:t xml:space="preserve">non-surgical </w:t>
      </w:r>
      <w:r w:rsidRPr="00944F24">
        <w:rPr>
          <w:lang w:val="en-GB"/>
        </w:rPr>
        <w:t xml:space="preserve">treatments with long-lasting effects </w:t>
      </w:r>
      <w:r w:rsidR="00D70AE9">
        <w:rPr>
          <w:lang w:val="en-GB"/>
        </w:rPr>
        <w:t>have not been found</w:t>
      </w:r>
      <w:r w:rsidRPr="00944F24">
        <w:rPr>
          <w:lang w:val="en-GB"/>
        </w:rPr>
        <w:t xml:space="preserve">. </w:t>
      </w:r>
      <w:r w:rsidR="00D70AE9">
        <w:rPr>
          <w:lang w:val="en-GB"/>
        </w:rPr>
        <w:t xml:space="preserve">Thus, there is an unmet need </w:t>
      </w:r>
      <w:r w:rsidR="00287AEC">
        <w:rPr>
          <w:lang w:val="en-GB"/>
        </w:rPr>
        <w:t xml:space="preserve">for </w:t>
      </w:r>
      <w:r w:rsidR="00287AEC" w:rsidRPr="00944F24">
        <w:rPr>
          <w:lang w:val="en-GB"/>
        </w:rPr>
        <w:t>new</w:t>
      </w:r>
      <w:r w:rsidRPr="00944F24">
        <w:rPr>
          <w:lang w:val="en-GB"/>
        </w:rPr>
        <w:t xml:space="preserve"> </w:t>
      </w:r>
      <w:r w:rsidR="00287AEC" w:rsidRPr="00944F24">
        <w:rPr>
          <w:lang w:val="en-GB"/>
        </w:rPr>
        <w:t>therapeutic</w:t>
      </w:r>
      <w:r w:rsidRPr="00944F24">
        <w:rPr>
          <w:lang w:val="en-GB"/>
        </w:rPr>
        <w:t xml:space="preserve"> </w:t>
      </w:r>
      <w:r w:rsidR="00D70AE9">
        <w:rPr>
          <w:lang w:val="en-GB"/>
        </w:rPr>
        <w:t xml:space="preserve">agents </w:t>
      </w:r>
      <w:r w:rsidRPr="00944F24">
        <w:rPr>
          <w:lang w:val="en-GB"/>
        </w:rPr>
        <w:t>and devices</w:t>
      </w:r>
      <w:r w:rsidR="00D70AE9">
        <w:rPr>
          <w:lang w:val="en-GB"/>
        </w:rPr>
        <w:t xml:space="preserve">. </w:t>
      </w:r>
      <w:r w:rsidR="00791B02">
        <w:rPr>
          <w:lang w:val="en-GB"/>
        </w:rPr>
        <w:t xml:space="preserve"> </w:t>
      </w:r>
      <w:r w:rsidR="00D70AE9">
        <w:rPr>
          <w:lang w:val="en-GB"/>
        </w:rPr>
        <w:t xml:space="preserve">A recently proposed option is </w:t>
      </w:r>
      <w:r w:rsidRPr="00944F24">
        <w:rPr>
          <w:lang w:val="en-GB"/>
        </w:rPr>
        <w:t xml:space="preserve">polyacrylamide hydrogels (PAAG). PAAGs are non-toxic </w:t>
      </w:r>
      <w:r w:rsidR="00CF545D" w:rsidRPr="00944F24">
        <w:rPr>
          <w:lang w:val="en-GB"/>
        </w:rPr>
        <w:t>[3,4,5]</w:t>
      </w:r>
      <w:r w:rsidRPr="00944F24">
        <w:rPr>
          <w:lang w:val="en-GB"/>
        </w:rPr>
        <w:t>, non-degradable synthetic products, that are frequently</w:t>
      </w:r>
      <w:r w:rsidR="00395B79" w:rsidRPr="00944F24">
        <w:rPr>
          <w:lang w:val="en-GB"/>
        </w:rPr>
        <w:t xml:space="preserve"> used </w:t>
      </w:r>
      <w:r w:rsidRPr="00944F24">
        <w:rPr>
          <w:lang w:val="en-GB"/>
        </w:rPr>
        <w:t>for soft tissue augmentation</w:t>
      </w:r>
      <w:r w:rsidR="00CF545D" w:rsidRPr="00944F24">
        <w:rPr>
          <w:lang w:val="en-GB"/>
        </w:rPr>
        <w:t xml:space="preserve"> [6,7,8,9,10,11]</w:t>
      </w:r>
      <w:r w:rsidR="007245A4">
        <w:rPr>
          <w:lang w:val="en-GB"/>
        </w:rPr>
        <w:t>.</w:t>
      </w:r>
      <w:r w:rsidRPr="00944F24">
        <w:rPr>
          <w:lang w:val="en-GB"/>
        </w:rPr>
        <w:t xml:space="preserve"> I</w:t>
      </w:r>
      <w:r w:rsidR="00791B02">
        <w:rPr>
          <w:lang w:val="en-GB"/>
        </w:rPr>
        <w:t>A</w:t>
      </w:r>
      <w:r w:rsidRPr="00944F24">
        <w:rPr>
          <w:lang w:val="en-GB"/>
        </w:rPr>
        <w:t xml:space="preserve"> injection of PAAG in rabbit and horse joints results in a stable, long-lasting sub-synovial layer of gel traversed with thin strands of connective tissue </w:t>
      </w:r>
      <w:r w:rsidR="007D2738" w:rsidRPr="00944F24">
        <w:rPr>
          <w:lang w:val="en-GB"/>
        </w:rPr>
        <w:t>[12]</w:t>
      </w:r>
      <w:r w:rsidRPr="00944F24">
        <w:rPr>
          <w:lang w:val="en-GB"/>
        </w:rPr>
        <w:t xml:space="preserve">. </w:t>
      </w:r>
      <w:r w:rsidR="00FF660A" w:rsidRPr="00944F24">
        <w:rPr>
          <w:lang w:val="en-GB"/>
        </w:rPr>
        <w:t>In horses</w:t>
      </w:r>
      <w:r w:rsidRPr="00944F24">
        <w:rPr>
          <w:lang w:val="en-GB"/>
        </w:rPr>
        <w:t xml:space="preserve"> </w:t>
      </w:r>
      <w:r w:rsidR="00FF660A" w:rsidRPr="00944F24">
        <w:rPr>
          <w:lang w:val="en-GB"/>
        </w:rPr>
        <w:t xml:space="preserve">with OA </w:t>
      </w:r>
      <w:r w:rsidR="00791B02">
        <w:rPr>
          <w:lang w:val="en-GB"/>
        </w:rPr>
        <w:t>IA</w:t>
      </w:r>
      <w:r w:rsidRPr="00944F24">
        <w:rPr>
          <w:lang w:val="en-GB"/>
        </w:rPr>
        <w:t xml:space="preserve"> PAAG significantly </w:t>
      </w:r>
      <w:r w:rsidR="00D70AE9">
        <w:rPr>
          <w:lang w:val="en-GB"/>
        </w:rPr>
        <w:t>reduces</w:t>
      </w:r>
      <w:r w:rsidR="00D70AE9" w:rsidRPr="00944F24">
        <w:rPr>
          <w:lang w:val="en-GB"/>
        </w:rPr>
        <w:t xml:space="preserve"> </w:t>
      </w:r>
      <w:r w:rsidRPr="00944F24">
        <w:rPr>
          <w:lang w:val="en-GB"/>
        </w:rPr>
        <w:t>lameness and joint effusion</w:t>
      </w:r>
      <w:r w:rsidR="00D70AE9">
        <w:rPr>
          <w:lang w:val="en-GB"/>
        </w:rPr>
        <w:t xml:space="preserve">, </w:t>
      </w:r>
      <w:r w:rsidRPr="00944F24">
        <w:rPr>
          <w:lang w:val="en-GB"/>
        </w:rPr>
        <w:t xml:space="preserve">without adverse effects </w:t>
      </w:r>
      <w:r w:rsidR="007D2738" w:rsidRPr="00944F24">
        <w:rPr>
          <w:lang w:val="en-GB"/>
        </w:rPr>
        <w:t>[13]</w:t>
      </w:r>
      <w:r w:rsidRPr="00944F24">
        <w:rPr>
          <w:lang w:val="en-GB"/>
        </w:rPr>
        <w:t xml:space="preserve">. Thus, IA injection of PAAG may be </w:t>
      </w:r>
      <w:r w:rsidR="00D70AE9">
        <w:rPr>
          <w:lang w:val="en-GB"/>
        </w:rPr>
        <w:t>suggested for</w:t>
      </w:r>
      <w:r w:rsidRPr="00944F24">
        <w:rPr>
          <w:lang w:val="en-GB"/>
        </w:rPr>
        <w:t xml:space="preserve"> treatment </w:t>
      </w:r>
      <w:r w:rsidR="00D70AE9">
        <w:rPr>
          <w:lang w:val="en-GB"/>
        </w:rPr>
        <w:t xml:space="preserve">of </w:t>
      </w:r>
      <w:r w:rsidRPr="00944F24">
        <w:rPr>
          <w:lang w:val="en-GB"/>
        </w:rPr>
        <w:t>knee OA in humans</w:t>
      </w:r>
      <w:r w:rsidR="00D70AE9">
        <w:rPr>
          <w:lang w:val="en-GB"/>
        </w:rPr>
        <w:t xml:space="preserve"> as well</w:t>
      </w:r>
      <w:r w:rsidRPr="00944F24">
        <w:rPr>
          <w:lang w:val="en-GB"/>
        </w:rPr>
        <w:t xml:space="preserve">, </w:t>
      </w:r>
      <w:r w:rsidR="00FF660A" w:rsidRPr="00944F24">
        <w:rPr>
          <w:lang w:val="en-GB"/>
        </w:rPr>
        <w:t xml:space="preserve">and </w:t>
      </w:r>
      <w:r w:rsidR="00D70AE9">
        <w:rPr>
          <w:lang w:val="en-GB"/>
        </w:rPr>
        <w:t>preliminary experience has been gathered</w:t>
      </w:r>
      <w:r w:rsidR="00FF660A" w:rsidRPr="00944F24">
        <w:rPr>
          <w:lang w:val="en-GB"/>
        </w:rPr>
        <w:t xml:space="preserve">. However, </w:t>
      </w:r>
      <w:r w:rsidR="00D70AE9">
        <w:rPr>
          <w:lang w:val="en-GB"/>
        </w:rPr>
        <w:t xml:space="preserve">before launching the PAAG treatment at a larger scale, </w:t>
      </w:r>
      <w:r w:rsidRPr="00944F24">
        <w:rPr>
          <w:lang w:val="en-GB"/>
        </w:rPr>
        <w:t>safety</w:t>
      </w:r>
      <w:r w:rsidR="00FF660A" w:rsidRPr="00944F24">
        <w:rPr>
          <w:lang w:val="en-GB"/>
        </w:rPr>
        <w:t xml:space="preserve"> need</w:t>
      </w:r>
      <w:r w:rsidR="00D70AE9">
        <w:rPr>
          <w:lang w:val="en-GB"/>
        </w:rPr>
        <w:t>s</w:t>
      </w:r>
      <w:r w:rsidR="00FF660A" w:rsidRPr="00944F24">
        <w:rPr>
          <w:lang w:val="en-GB"/>
        </w:rPr>
        <w:t xml:space="preserve"> to be evaluated</w:t>
      </w:r>
      <w:r w:rsidRPr="00944F24">
        <w:rPr>
          <w:lang w:val="en-GB"/>
        </w:rPr>
        <w:t>.</w:t>
      </w:r>
    </w:p>
    <w:p w14:paraId="1ED27C22" w14:textId="2D381772" w:rsidR="00B361BD" w:rsidRPr="00944F24" w:rsidRDefault="00B361BD" w:rsidP="004F742F">
      <w:pPr>
        <w:spacing w:after="0" w:line="480" w:lineRule="auto"/>
        <w:rPr>
          <w:lang w:val="en-GB"/>
        </w:rPr>
      </w:pPr>
      <w:r w:rsidRPr="00944F24">
        <w:rPr>
          <w:lang w:val="en-GB"/>
        </w:rPr>
        <w:t xml:space="preserve">The present retrospective </w:t>
      </w:r>
      <w:r w:rsidR="007245A4">
        <w:rPr>
          <w:lang w:val="en-GB"/>
        </w:rPr>
        <w:t xml:space="preserve">case series </w:t>
      </w:r>
      <w:r w:rsidR="00471D06" w:rsidRPr="00944F24">
        <w:rPr>
          <w:lang w:val="en-GB"/>
        </w:rPr>
        <w:t>aims at investigating the incidence and nature of any adverse events in a group of knee OA patients</w:t>
      </w:r>
      <w:r w:rsidR="00D70AE9">
        <w:rPr>
          <w:lang w:val="en-GB"/>
        </w:rPr>
        <w:t>,</w:t>
      </w:r>
      <w:r w:rsidR="00471D06" w:rsidRPr="00944F24">
        <w:rPr>
          <w:lang w:val="en-GB"/>
        </w:rPr>
        <w:t xml:space="preserve"> who have been treated with IA PAAG.</w:t>
      </w:r>
      <w:r w:rsidR="00471D06" w:rsidRPr="00944F24" w:rsidDel="00471D06">
        <w:rPr>
          <w:lang w:val="en-GB"/>
        </w:rPr>
        <w:t xml:space="preserve"> </w:t>
      </w:r>
    </w:p>
    <w:p w14:paraId="43E7ABC9" w14:textId="77777777" w:rsidR="00EE41D9" w:rsidRPr="00944F24" w:rsidRDefault="00EE41D9" w:rsidP="004F742F">
      <w:pPr>
        <w:spacing w:after="0" w:line="480" w:lineRule="auto"/>
        <w:rPr>
          <w:b/>
          <w:lang w:val="en-GB"/>
        </w:rPr>
      </w:pPr>
      <w:r w:rsidRPr="00944F24">
        <w:rPr>
          <w:b/>
          <w:lang w:val="en-GB"/>
        </w:rPr>
        <w:br w:type="page"/>
      </w:r>
    </w:p>
    <w:p w14:paraId="320D6C42" w14:textId="77777777" w:rsidR="00E34CF3" w:rsidRPr="00944F24" w:rsidRDefault="00FF660A" w:rsidP="00560E34">
      <w:pPr>
        <w:pStyle w:val="Overskrift2"/>
        <w:rPr>
          <w:lang w:val="en-GB"/>
        </w:rPr>
      </w:pPr>
      <w:r w:rsidRPr="00944F24">
        <w:rPr>
          <w:lang w:val="en-GB"/>
        </w:rPr>
        <w:lastRenderedPageBreak/>
        <w:t xml:space="preserve">PATIENTS AND METHODS </w:t>
      </w:r>
    </w:p>
    <w:p w14:paraId="230D75DB" w14:textId="5BE82AA2" w:rsidR="002B4829" w:rsidRDefault="00B322E8" w:rsidP="004F742F">
      <w:pPr>
        <w:spacing w:after="0" w:line="480" w:lineRule="auto"/>
        <w:rPr>
          <w:lang w:val="en-GB"/>
        </w:rPr>
      </w:pPr>
      <w:r w:rsidRPr="00944F24">
        <w:rPr>
          <w:lang w:val="en-GB"/>
        </w:rPr>
        <w:t xml:space="preserve">The study </w:t>
      </w:r>
      <w:r w:rsidR="005C4353" w:rsidRPr="00944F24">
        <w:rPr>
          <w:lang w:val="en-GB"/>
        </w:rPr>
        <w:t>is</w:t>
      </w:r>
      <w:r w:rsidRPr="00944F24">
        <w:rPr>
          <w:lang w:val="en-GB"/>
        </w:rPr>
        <w:t xml:space="preserve"> a retrospective assessment of </w:t>
      </w:r>
      <w:r w:rsidR="005C4353" w:rsidRPr="00944F24">
        <w:rPr>
          <w:lang w:val="en-GB"/>
        </w:rPr>
        <w:t xml:space="preserve">the </w:t>
      </w:r>
      <w:r w:rsidRPr="00944F24">
        <w:rPr>
          <w:lang w:val="en-GB"/>
        </w:rPr>
        <w:t xml:space="preserve">safety </w:t>
      </w:r>
      <w:r w:rsidR="005C4353" w:rsidRPr="00944F24">
        <w:rPr>
          <w:lang w:val="en-GB"/>
        </w:rPr>
        <w:t xml:space="preserve">of intra-articular (IA) PAAG given to patients with </w:t>
      </w:r>
      <w:r w:rsidRPr="00944F24">
        <w:rPr>
          <w:lang w:val="en-GB"/>
        </w:rPr>
        <w:t>k</w:t>
      </w:r>
      <w:r w:rsidR="00D964A9" w:rsidRPr="00944F24">
        <w:rPr>
          <w:lang w:val="en-GB"/>
        </w:rPr>
        <w:t xml:space="preserve">nee </w:t>
      </w:r>
      <w:r w:rsidR="00F82F69" w:rsidRPr="00944F24">
        <w:rPr>
          <w:lang w:val="en-GB"/>
        </w:rPr>
        <w:t xml:space="preserve">OA </w:t>
      </w:r>
      <w:r w:rsidR="005C4353" w:rsidRPr="00944F24">
        <w:rPr>
          <w:lang w:val="en-GB"/>
        </w:rPr>
        <w:t>as</w:t>
      </w:r>
      <w:r w:rsidR="00616BBD" w:rsidRPr="00944F24">
        <w:rPr>
          <w:lang w:val="en-GB"/>
        </w:rPr>
        <w:t xml:space="preserve"> </w:t>
      </w:r>
      <w:r w:rsidR="005C4353" w:rsidRPr="00944F24">
        <w:rPr>
          <w:lang w:val="en-GB"/>
        </w:rPr>
        <w:t xml:space="preserve">symptomatic </w:t>
      </w:r>
      <w:r w:rsidR="00616BBD" w:rsidRPr="00944F24">
        <w:rPr>
          <w:lang w:val="en-GB"/>
        </w:rPr>
        <w:t>treatment</w:t>
      </w:r>
      <w:r w:rsidRPr="00944F24">
        <w:rPr>
          <w:lang w:val="en-GB"/>
        </w:rPr>
        <w:t>.</w:t>
      </w:r>
      <w:r w:rsidR="00F82F69" w:rsidRPr="00944F24">
        <w:rPr>
          <w:lang w:val="en-GB"/>
        </w:rPr>
        <w:t xml:space="preserve"> </w:t>
      </w:r>
      <w:r w:rsidR="005C4353" w:rsidRPr="00944F24">
        <w:rPr>
          <w:lang w:val="en-GB"/>
        </w:rPr>
        <w:t xml:space="preserve">PAAG is an approved product for soft tissue augmentation, but the patients in this study had received </w:t>
      </w:r>
      <w:r w:rsidR="00D70AE9">
        <w:rPr>
          <w:lang w:val="en-GB"/>
        </w:rPr>
        <w:t>the compound</w:t>
      </w:r>
      <w:r w:rsidR="00D70AE9" w:rsidRPr="00944F24">
        <w:rPr>
          <w:lang w:val="en-GB"/>
        </w:rPr>
        <w:t xml:space="preserve"> </w:t>
      </w:r>
      <w:r w:rsidR="005C4353" w:rsidRPr="00944F24">
        <w:rPr>
          <w:lang w:val="en-GB"/>
        </w:rPr>
        <w:t>as an off</w:t>
      </w:r>
      <w:r w:rsidR="00AD5060">
        <w:rPr>
          <w:lang w:val="en-GB"/>
        </w:rPr>
        <w:t>-</w:t>
      </w:r>
      <w:r w:rsidR="005C4353" w:rsidRPr="00944F24">
        <w:rPr>
          <w:lang w:val="en-GB"/>
        </w:rPr>
        <w:t>label treatment of their knee OA symptoms at a rheumatology and sports medicine clinic in Denmark</w:t>
      </w:r>
      <w:r w:rsidR="001E534A" w:rsidRPr="00944F24">
        <w:rPr>
          <w:lang w:val="en-GB"/>
        </w:rPr>
        <w:t xml:space="preserve"> from </w:t>
      </w:r>
      <w:r w:rsidR="00073114" w:rsidRPr="00944F24">
        <w:rPr>
          <w:lang w:val="en-GB"/>
        </w:rPr>
        <w:t>March 2010 and February 2017</w:t>
      </w:r>
      <w:r w:rsidR="005C4353" w:rsidRPr="00944F24">
        <w:rPr>
          <w:lang w:val="en-GB"/>
        </w:rPr>
        <w:t xml:space="preserve">. </w:t>
      </w:r>
    </w:p>
    <w:p w14:paraId="26CA0A46" w14:textId="17B559C6" w:rsidR="002B4829" w:rsidRPr="00944F24" w:rsidRDefault="002B4829" w:rsidP="004F742F">
      <w:pPr>
        <w:spacing w:after="0" w:line="480" w:lineRule="auto"/>
        <w:rPr>
          <w:lang w:val="en-GB"/>
        </w:rPr>
      </w:pPr>
      <w:r>
        <w:rPr>
          <w:lang w:val="en-GB"/>
        </w:rPr>
        <w:t xml:space="preserve">During this period, </w:t>
      </w:r>
      <w:r w:rsidR="005818D2">
        <w:rPr>
          <w:lang w:val="en-GB"/>
        </w:rPr>
        <w:t>128</w:t>
      </w:r>
      <w:r>
        <w:rPr>
          <w:lang w:val="en-GB"/>
        </w:rPr>
        <w:t xml:space="preserve"> patients had received PAAG </w:t>
      </w:r>
      <w:r w:rsidR="00192CFC">
        <w:rPr>
          <w:lang w:val="en-GB"/>
        </w:rPr>
        <w:t>on</w:t>
      </w:r>
      <w:r>
        <w:rPr>
          <w:lang w:val="en-GB"/>
        </w:rPr>
        <w:t xml:space="preserve"> one or </w:t>
      </w:r>
      <w:r w:rsidR="00192CFC">
        <w:rPr>
          <w:lang w:val="en-GB"/>
        </w:rPr>
        <w:t>more</w:t>
      </w:r>
      <w:r>
        <w:rPr>
          <w:lang w:val="en-GB"/>
        </w:rPr>
        <w:t xml:space="preserve"> occasions</w:t>
      </w:r>
      <w:r w:rsidR="00071025">
        <w:rPr>
          <w:lang w:val="en-GB"/>
        </w:rPr>
        <w:t xml:space="preserve"> for OA symptoms in the knee</w:t>
      </w:r>
      <w:r>
        <w:rPr>
          <w:lang w:val="en-GB"/>
        </w:rPr>
        <w:t xml:space="preserve">. All patients had accepted recall for safety registration and this was performed </w:t>
      </w:r>
      <w:r w:rsidR="001E534A" w:rsidRPr="00944F24">
        <w:rPr>
          <w:lang w:val="en-GB"/>
        </w:rPr>
        <w:t>at the outpatient</w:t>
      </w:r>
      <w:r w:rsidR="00A954B1" w:rsidRPr="00944F24">
        <w:rPr>
          <w:lang w:val="en-GB"/>
        </w:rPr>
        <w:t xml:space="preserve"> </w:t>
      </w:r>
      <w:r w:rsidR="001E534A" w:rsidRPr="00944F24">
        <w:rPr>
          <w:lang w:val="en-GB"/>
        </w:rPr>
        <w:t xml:space="preserve">osteoarthritis clinic at Frederiksberg Hospital in Denmark </w:t>
      </w:r>
      <w:r w:rsidR="00A954B1" w:rsidRPr="00944F24">
        <w:rPr>
          <w:lang w:val="en-GB"/>
        </w:rPr>
        <w:t>based on interview</w:t>
      </w:r>
      <w:r w:rsidR="005C4353" w:rsidRPr="00944F24">
        <w:rPr>
          <w:lang w:val="en-GB"/>
        </w:rPr>
        <w:t>s,</w:t>
      </w:r>
      <w:r w:rsidR="00A954B1" w:rsidRPr="00944F24">
        <w:rPr>
          <w:lang w:val="en-GB"/>
        </w:rPr>
        <w:t xml:space="preserve"> clinical examination</w:t>
      </w:r>
      <w:r w:rsidR="005C4353" w:rsidRPr="00944F24">
        <w:rPr>
          <w:lang w:val="en-GB"/>
        </w:rPr>
        <w:t>s, and review of medical records</w:t>
      </w:r>
      <w:r w:rsidR="00A954B1" w:rsidRPr="00944F24">
        <w:rPr>
          <w:lang w:val="en-GB"/>
        </w:rPr>
        <w:t xml:space="preserve">.  </w:t>
      </w:r>
    </w:p>
    <w:p w14:paraId="3D3A6DEB" w14:textId="77777777" w:rsidR="00A921E2" w:rsidRDefault="00A921E2" w:rsidP="004F742F">
      <w:pPr>
        <w:spacing w:after="0" w:line="480" w:lineRule="auto"/>
        <w:rPr>
          <w:i/>
          <w:lang w:val="en-GB"/>
        </w:rPr>
      </w:pPr>
    </w:p>
    <w:p w14:paraId="5B42C8DF" w14:textId="79CA3707" w:rsidR="00174372" w:rsidRPr="00560E34" w:rsidRDefault="00174372" w:rsidP="004F742F">
      <w:pPr>
        <w:spacing w:after="0" w:line="480" w:lineRule="auto"/>
        <w:rPr>
          <w:b/>
          <w:i/>
          <w:lang w:val="en-GB"/>
        </w:rPr>
      </w:pPr>
      <w:r w:rsidRPr="00560E34">
        <w:rPr>
          <w:b/>
          <w:i/>
          <w:lang w:val="en-GB"/>
        </w:rPr>
        <w:t>PAAG treatment</w:t>
      </w:r>
    </w:p>
    <w:p w14:paraId="1DD9A822" w14:textId="09458B1F" w:rsidR="00545CF7" w:rsidRPr="00944F24" w:rsidRDefault="0065110B" w:rsidP="004F742F">
      <w:pPr>
        <w:spacing w:after="0" w:line="480" w:lineRule="auto"/>
        <w:rPr>
          <w:lang w:val="en-GB"/>
        </w:rPr>
      </w:pPr>
      <w:r w:rsidRPr="00944F24">
        <w:rPr>
          <w:lang w:val="en-GB"/>
        </w:rPr>
        <w:t xml:space="preserve">PAAG is a non-toxic and non-immunogenic biocompatible polymer gel </w:t>
      </w:r>
      <w:r w:rsidR="00944F24" w:rsidRPr="00944F24">
        <w:rPr>
          <w:lang w:val="en-GB"/>
        </w:rPr>
        <w:t>[3</w:t>
      </w:r>
      <w:r w:rsidR="007245A4">
        <w:rPr>
          <w:lang w:val="en-GB"/>
        </w:rPr>
        <w:t>,</w:t>
      </w:r>
      <w:r w:rsidR="00944F24" w:rsidRPr="00944F24">
        <w:rPr>
          <w:lang w:val="en-GB"/>
        </w:rPr>
        <w:t>4</w:t>
      </w:r>
      <w:r w:rsidR="007245A4">
        <w:rPr>
          <w:lang w:val="en-GB"/>
        </w:rPr>
        <w:t>,</w:t>
      </w:r>
      <w:r w:rsidR="00944F24" w:rsidRPr="00944F24">
        <w:rPr>
          <w:lang w:val="en-GB"/>
        </w:rPr>
        <w:t>5]</w:t>
      </w:r>
      <w:r w:rsidRPr="00944F24">
        <w:rPr>
          <w:lang w:val="en-GB"/>
        </w:rPr>
        <w:t xml:space="preserve"> consisting of 97.5% sterile water and 2.5% cross-linked polyacrylamide produced by Contura International A/S. </w:t>
      </w:r>
      <w:r w:rsidR="005C4353" w:rsidRPr="00944F24">
        <w:rPr>
          <w:lang w:val="en-GB"/>
        </w:rPr>
        <w:t>The</w:t>
      </w:r>
      <w:r w:rsidR="00A954B1" w:rsidRPr="00944F24">
        <w:rPr>
          <w:lang w:val="en-GB"/>
        </w:rPr>
        <w:t xml:space="preserve"> </w:t>
      </w:r>
      <w:r w:rsidR="001E534A" w:rsidRPr="00944F24">
        <w:rPr>
          <w:lang w:val="en-GB"/>
        </w:rPr>
        <w:t xml:space="preserve">tested treatment regimen encompassed </w:t>
      </w:r>
      <w:r w:rsidR="005C4353" w:rsidRPr="00944F24">
        <w:rPr>
          <w:lang w:val="en-GB"/>
        </w:rPr>
        <w:t xml:space="preserve">IA </w:t>
      </w:r>
      <w:r w:rsidR="00A954B1" w:rsidRPr="00944F24">
        <w:rPr>
          <w:lang w:val="en-GB"/>
        </w:rPr>
        <w:t xml:space="preserve">treatment </w:t>
      </w:r>
      <w:r w:rsidR="005C4353" w:rsidRPr="00944F24">
        <w:rPr>
          <w:lang w:val="en-GB"/>
        </w:rPr>
        <w:t xml:space="preserve">of </w:t>
      </w:r>
      <w:r w:rsidR="001E534A" w:rsidRPr="00944F24">
        <w:rPr>
          <w:lang w:val="en-GB"/>
        </w:rPr>
        <w:t>3</w:t>
      </w:r>
      <w:r w:rsidR="00A954B1" w:rsidRPr="00944F24">
        <w:rPr>
          <w:lang w:val="en-GB"/>
        </w:rPr>
        <w:t xml:space="preserve"> ml PAAG</w:t>
      </w:r>
      <w:r w:rsidR="005C4353" w:rsidRPr="00944F24">
        <w:rPr>
          <w:lang w:val="en-GB"/>
        </w:rPr>
        <w:t xml:space="preserve"> injected into the knee joint cavity</w:t>
      </w:r>
      <w:r w:rsidR="001E534A" w:rsidRPr="00944F24">
        <w:rPr>
          <w:lang w:val="en-GB"/>
        </w:rPr>
        <w:t xml:space="preserve"> under ultrasound guidance</w:t>
      </w:r>
      <w:r w:rsidR="00174372" w:rsidRPr="00944F24">
        <w:rPr>
          <w:lang w:val="en-GB"/>
        </w:rPr>
        <w:t xml:space="preserve">. </w:t>
      </w:r>
      <w:r w:rsidR="001E534A" w:rsidRPr="00944F24">
        <w:rPr>
          <w:lang w:val="en-GB"/>
        </w:rPr>
        <w:t>The IA treatment was accompanied by</w:t>
      </w:r>
      <w:r w:rsidR="00545CF7" w:rsidRPr="00944F24">
        <w:rPr>
          <w:lang w:val="en-GB"/>
        </w:rPr>
        <w:t xml:space="preserve"> a single dose oral antibiotic</w:t>
      </w:r>
      <w:r w:rsidR="00287AEC">
        <w:rPr>
          <w:lang w:val="en-GB"/>
        </w:rPr>
        <w:t xml:space="preserve"> (azithromycin 500 mg and moxifloxacin 400 mg)</w:t>
      </w:r>
      <w:r w:rsidR="00545CF7" w:rsidRPr="00944F24">
        <w:rPr>
          <w:lang w:val="en-GB"/>
        </w:rPr>
        <w:t xml:space="preserve"> given on the morning of the treatment. </w:t>
      </w:r>
    </w:p>
    <w:p w14:paraId="75E8536D" w14:textId="1E1E33BB" w:rsidR="009E3C32" w:rsidRPr="00944F24" w:rsidRDefault="00D97CEB" w:rsidP="004F742F">
      <w:pPr>
        <w:spacing w:after="0" w:line="480" w:lineRule="auto"/>
        <w:rPr>
          <w:lang w:val="en-GB"/>
        </w:rPr>
      </w:pPr>
      <w:r w:rsidRPr="00944F24">
        <w:rPr>
          <w:lang w:val="en-GB"/>
        </w:rPr>
        <w:t xml:space="preserve"> </w:t>
      </w:r>
    </w:p>
    <w:p w14:paraId="2BF4DAA6" w14:textId="77777777" w:rsidR="00174372" w:rsidRPr="00560E34" w:rsidRDefault="00174372" w:rsidP="004F742F">
      <w:pPr>
        <w:spacing w:after="0" w:line="480" w:lineRule="auto"/>
        <w:rPr>
          <w:b/>
          <w:i/>
          <w:lang w:val="en-GB"/>
        </w:rPr>
      </w:pPr>
      <w:r w:rsidRPr="00560E34">
        <w:rPr>
          <w:b/>
          <w:i/>
          <w:lang w:val="en-GB"/>
        </w:rPr>
        <w:t xml:space="preserve">Safety assessment </w:t>
      </w:r>
    </w:p>
    <w:p w14:paraId="6B74E399" w14:textId="79ACA539" w:rsidR="00174372" w:rsidRPr="00944F24" w:rsidRDefault="00174372" w:rsidP="004F742F">
      <w:pPr>
        <w:spacing w:after="0" w:line="480" w:lineRule="auto"/>
        <w:rPr>
          <w:lang w:val="en-GB"/>
        </w:rPr>
      </w:pPr>
      <w:r w:rsidRPr="00944F24">
        <w:rPr>
          <w:lang w:val="en-GB"/>
        </w:rPr>
        <w:t xml:space="preserve">The patients were referred to the osteoarthritis outpatient clinic for the safety follow-up. If the patients </w:t>
      </w:r>
      <w:r w:rsidR="002B4829">
        <w:rPr>
          <w:lang w:val="en-GB"/>
        </w:rPr>
        <w:t xml:space="preserve">had no possibility of showing up or </w:t>
      </w:r>
      <w:r w:rsidRPr="00944F24">
        <w:rPr>
          <w:lang w:val="en-GB"/>
        </w:rPr>
        <w:t>declined a clinical examination</w:t>
      </w:r>
      <w:r w:rsidR="002B4829">
        <w:rPr>
          <w:lang w:val="en-GB"/>
        </w:rPr>
        <w:t>,</w:t>
      </w:r>
      <w:r w:rsidRPr="00944F24">
        <w:rPr>
          <w:lang w:val="en-GB"/>
        </w:rPr>
        <w:t xml:space="preserve"> a telephone interview was conducted. </w:t>
      </w:r>
    </w:p>
    <w:p w14:paraId="0EA5E73C" w14:textId="30074CC0" w:rsidR="00174372" w:rsidRPr="00944F24" w:rsidRDefault="001E534A" w:rsidP="004F742F">
      <w:pPr>
        <w:spacing w:after="0" w:line="480" w:lineRule="auto"/>
        <w:rPr>
          <w:lang w:val="en-GB"/>
        </w:rPr>
      </w:pPr>
      <w:r w:rsidRPr="00944F24">
        <w:rPr>
          <w:lang w:val="en-GB"/>
        </w:rPr>
        <w:t>Each participant was i</w:t>
      </w:r>
      <w:r w:rsidR="006005EE" w:rsidRPr="00944F24">
        <w:rPr>
          <w:lang w:val="en-GB"/>
        </w:rPr>
        <w:t xml:space="preserve">nterviewed </w:t>
      </w:r>
      <w:r w:rsidR="002342F7" w:rsidRPr="00944F24">
        <w:rPr>
          <w:lang w:val="en-GB"/>
        </w:rPr>
        <w:t xml:space="preserve">and </w:t>
      </w:r>
      <w:r w:rsidR="006005EE" w:rsidRPr="00944F24">
        <w:rPr>
          <w:lang w:val="en-GB"/>
        </w:rPr>
        <w:t>examined for evidence of adverse events (AE) and serious adverse events (SAE)</w:t>
      </w:r>
      <w:r w:rsidRPr="00944F24">
        <w:rPr>
          <w:lang w:val="en-GB"/>
        </w:rPr>
        <w:t>,</w:t>
      </w:r>
      <w:r w:rsidR="006005EE" w:rsidRPr="00944F24">
        <w:rPr>
          <w:lang w:val="en-GB"/>
        </w:rPr>
        <w:t xml:space="preserve"> retrospectively. </w:t>
      </w:r>
      <w:r w:rsidR="002342F7" w:rsidRPr="00944F24">
        <w:rPr>
          <w:lang w:val="en-GB"/>
        </w:rPr>
        <w:t>M</w:t>
      </w:r>
      <w:r w:rsidR="006005EE" w:rsidRPr="00944F24">
        <w:rPr>
          <w:lang w:val="en-GB"/>
        </w:rPr>
        <w:t xml:space="preserve">edical records were reviewed, and </w:t>
      </w:r>
      <w:r w:rsidR="00F959AD" w:rsidRPr="00944F24">
        <w:rPr>
          <w:lang w:val="en-GB"/>
        </w:rPr>
        <w:t>an x-ray was taken</w:t>
      </w:r>
      <w:r w:rsidR="00D56957" w:rsidRPr="00944F24">
        <w:rPr>
          <w:lang w:val="en-GB"/>
        </w:rPr>
        <w:t xml:space="preserve"> to evaluate current radiological OA classification</w:t>
      </w:r>
      <w:r w:rsidR="006005EE" w:rsidRPr="00944F24">
        <w:rPr>
          <w:lang w:val="en-GB"/>
        </w:rPr>
        <w:t>.</w:t>
      </w:r>
      <w:r w:rsidR="00967ACC" w:rsidRPr="00944F24">
        <w:rPr>
          <w:lang w:val="en-GB"/>
        </w:rPr>
        <w:t xml:space="preserve"> </w:t>
      </w:r>
      <w:r w:rsidR="002B4829">
        <w:rPr>
          <w:lang w:val="en-GB"/>
        </w:rPr>
        <w:t>K</w:t>
      </w:r>
      <w:r w:rsidR="00D56957" w:rsidRPr="00944F24">
        <w:rPr>
          <w:lang w:val="en-GB"/>
        </w:rPr>
        <w:t>nee joint range of motion (ROM) was e</w:t>
      </w:r>
      <w:r w:rsidR="00967ACC" w:rsidRPr="00944F24">
        <w:rPr>
          <w:lang w:val="en-GB"/>
        </w:rPr>
        <w:t>valuat</w:t>
      </w:r>
      <w:r w:rsidR="00D56957" w:rsidRPr="00944F24">
        <w:rPr>
          <w:lang w:val="en-GB"/>
        </w:rPr>
        <w:t xml:space="preserve">ed </w:t>
      </w:r>
      <w:r w:rsidR="00174372" w:rsidRPr="00944F24">
        <w:rPr>
          <w:lang w:val="en-GB"/>
        </w:rPr>
        <w:t xml:space="preserve">clinically </w:t>
      </w:r>
      <w:r w:rsidR="00D56957" w:rsidRPr="00944F24">
        <w:rPr>
          <w:lang w:val="en-GB"/>
        </w:rPr>
        <w:t xml:space="preserve">to </w:t>
      </w:r>
      <w:r w:rsidRPr="00944F24">
        <w:rPr>
          <w:lang w:val="en-GB"/>
        </w:rPr>
        <w:t>assess</w:t>
      </w:r>
      <w:r w:rsidR="00D56957" w:rsidRPr="00944F24">
        <w:rPr>
          <w:lang w:val="en-GB"/>
        </w:rPr>
        <w:t xml:space="preserve"> </w:t>
      </w:r>
      <w:r w:rsidRPr="00944F24">
        <w:rPr>
          <w:lang w:val="en-GB"/>
        </w:rPr>
        <w:t xml:space="preserve">any </w:t>
      </w:r>
      <w:r w:rsidR="00967ACC" w:rsidRPr="00944F24">
        <w:rPr>
          <w:lang w:val="en-GB"/>
        </w:rPr>
        <w:t>significant reduction in ROM</w:t>
      </w:r>
      <w:r w:rsidRPr="00944F24">
        <w:rPr>
          <w:lang w:val="en-GB"/>
        </w:rPr>
        <w:t xml:space="preserve"> and the examiner assessed if any decreased ROM </w:t>
      </w:r>
      <w:r w:rsidR="00174372" w:rsidRPr="00944F24">
        <w:rPr>
          <w:lang w:val="en-GB"/>
        </w:rPr>
        <w:t xml:space="preserve">was </w:t>
      </w:r>
      <w:r w:rsidRPr="00944F24">
        <w:rPr>
          <w:lang w:val="en-GB"/>
        </w:rPr>
        <w:t>attributable to</w:t>
      </w:r>
      <w:r w:rsidR="00D56957" w:rsidRPr="00944F24">
        <w:rPr>
          <w:lang w:val="en-GB"/>
        </w:rPr>
        <w:t xml:space="preserve"> </w:t>
      </w:r>
      <w:r w:rsidR="00967ACC" w:rsidRPr="00944F24">
        <w:rPr>
          <w:lang w:val="en-GB"/>
        </w:rPr>
        <w:t>bony or soft tissue changes</w:t>
      </w:r>
      <w:r w:rsidR="00174372" w:rsidRPr="00944F24">
        <w:rPr>
          <w:lang w:val="en-GB"/>
        </w:rPr>
        <w:t xml:space="preserve">. </w:t>
      </w:r>
    </w:p>
    <w:p w14:paraId="74258F98" w14:textId="7345A670" w:rsidR="00174372" w:rsidRPr="00944F24" w:rsidRDefault="006005EE" w:rsidP="004F742F">
      <w:pPr>
        <w:spacing w:after="0" w:line="480" w:lineRule="auto"/>
        <w:rPr>
          <w:lang w:val="en-GB"/>
        </w:rPr>
      </w:pPr>
      <w:r w:rsidRPr="00944F24">
        <w:rPr>
          <w:lang w:val="en-GB"/>
        </w:rPr>
        <w:lastRenderedPageBreak/>
        <w:t xml:space="preserve">All patients were asked to describe any pain and mobility limitations, skin conditions, systemic events </w:t>
      </w:r>
      <w:r w:rsidR="002B4829">
        <w:rPr>
          <w:lang w:val="en-GB"/>
        </w:rPr>
        <w:t xml:space="preserve">, whether or not </w:t>
      </w:r>
      <w:r w:rsidRPr="00944F24">
        <w:rPr>
          <w:lang w:val="en-GB"/>
        </w:rPr>
        <w:t>knee related</w:t>
      </w:r>
      <w:r w:rsidR="002B4829">
        <w:rPr>
          <w:lang w:val="en-GB"/>
        </w:rPr>
        <w:t>,</w:t>
      </w:r>
      <w:r w:rsidRPr="00944F24">
        <w:rPr>
          <w:lang w:val="en-GB"/>
        </w:rPr>
        <w:t xml:space="preserve"> that they experienced in relation to the</w:t>
      </w:r>
      <w:r w:rsidR="00174372" w:rsidRPr="00944F24">
        <w:rPr>
          <w:lang w:val="en-GB"/>
        </w:rPr>
        <w:t xml:space="preserve"> PAAG</w:t>
      </w:r>
      <w:r w:rsidRPr="00944F24">
        <w:rPr>
          <w:lang w:val="en-GB"/>
        </w:rPr>
        <w:t xml:space="preserve"> treatment. If any AEs or discomforts were described, the patient was asked to describe duration (“Days”, “Weeks”, “Months”) and severity (“Mild”, “Moderate”, “Severe”). </w:t>
      </w:r>
    </w:p>
    <w:p w14:paraId="5DC48F5D" w14:textId="3A6C67A7" w:rsidR="009D799E" w:rsidRPr="00944F24" w:rsidRDefault="006005EE" w:rsidP="004F742F">
      <w:pPr>
        <w:spacing w:after="0" w:line="480" w:lineRule="auto"/>
        <w:rPr>
          <w:lang w:val="en-GB"/>
        </w:rPr>
      </w:pPr>
      <w:r w:rsidRPr="00944F24">
        <w:rPr>
          <w:lang w:val="en-GB"/>
        </w:rPr>
        <w:t>To assess if any SAEs had occurred, all patients were asked if they experienced any events in relation to the treatment that caused them to seek medical assistance</w:t>
      </w:r>
      <w:r w:rsidR="00174372" w:rsidRPr="00944F24">
        <w:rPr>
          <w:lang w:val="en-GB"/>
        </w:rPr>
        <w:t xml:space="preserve"> or caused hospitalization</w:t>
      </w:r>
      <w:r w:rsidRPr="00944F24">
        <w:rPr>
          <w:lang w:val="en-GB"/>
        </w:rPr>
        <w:t xml:space="preserve">. Any such reports were pursued </w:t>
      </w:r>
      <w:r w:rsidR="009D799E" w:rsidRPr="00944F24">
        <w:rPr>
          <w:lang w:val="en-GB"/>
        </w:rPr>
        <w:t xml:space="preserve">further by contacting the patients’ GP and reviewing medical </w:t>
      </w:r>
      <w:proofErr w:type="gramStart"/>
      <w:r w:rsidR="009D799E" w:rsidRPr="00944F24">
        <w:rPr>
          <w:lang w:val="en-GB"/>
        </w:rPr>
        <w:t>records</w:t>
      </w:r>
      <w:r w:rsidR="00481271">
        <w:rPr>
          <w:lang w:val="en-GB"/>
        </w:rPr>
        <w:t>.</w:t>
      </w:r>
      <w:r w:rsidRPr="00944F24">
        <w:rPr>
          <w:lang w:val="en-GB"/>
        </w:rPr>
        <w:t>.</w:t>
      </w:r>
      <w:proofErr w:type="gramEnd"/>
      <w:r w:rsidRPr="00944F24">
        <w:rPr>
          <w:lang w:val="en-GB"/>
        </w:rPr>
        <w:t xml:space="preserve"> </w:t>
      </w:r>
      <w:r w:rsidR="009D799E" w:rsidRPr="00944F24">
        <w:rPr>
          <w:lang w:val="en-GB"/>
        </w:rPr>
        <w:t>All AEs were</w:t>
      </w:r>
      <w:r w:rsidRPr="00944F24">
        <w:rPr>
          <w:lang w:val="en-GB"/>
        </w:rPr>
        <w:t xml:space="preserve"> recorded, including the approximate date of onset, description, severity, duration and outcome, relationship of the AE to </w:t>
      </w:r>
      <w:r w:rsidR="00481271">
        <w:rPr>
          <w:lang w:val="en-GB"/>
        </w:rPr>
        <w:t>PAAG treatment</w:t>
      </w:r>
      <w:r w:rsidRPr="00944F24">
        <w:rPr>
          <w:lang w:val="en-GB"/>
        </w:rPr>
        <w:t>, and any action(s) taken.</w:t>
      </w:r>
      <w:r w:rsidR="00ED23C7" w:rsidRPr="00944F24">
        <w:rPr>
          <w:lang w:val="en-GB"/>
        </w:rPr>
        <w:t xml:space="preserve"> </w:t>
      </w:r>
    </w:p>
    <w:p w14:paraId="5E914036" w14:textId="6F8AC445" w:rsidR="00527FF0" w:rsidRPr="00944F24" w:rsidRDefault="00527FF0" w:rsidP="004F742F">
      <w:pPr>
        <w:spacing w:after="0" w:line="480" w:lineRule="auto"/>
        <w:rPr>
          <w:lang w:val="en-GB"/>
        </w:rPr>
      </w:pPr>
      <w:r w:rsidRPr="00944F24">
        <w:rPr>
          <w:lang w:val="en-GB"/>
        </w:rPr>
        <w:t xml:space="preserve">Other treatments and </w:t>
      </w:r>
      <w:r w:rsidR="002B4829">
        <w:rPr>
          <w:lang w:val="en-GB"/>
        </w:rPr>
        <w:t>concomitant</w:t>
      </w:r>
      <w:r w:rsidRPr="00944F24">
        <w:rPr>
          <w:lang w:val="en-GB"/>
        </w:rPr>
        <w:t xml:space="preserve"> illness</w:t>
      </w:r>
      <w:r w:rsidR="002B4829">
        <w:rPr>
          <w:lang w:val="en-GB"/>
        </w:rPr>
        <w:t>es</w:t>
      </w:r>
      <w:r w:rsidRPr="00944F24">
        <w:rPr>
          <w:lang w:val="en-GB"/>
        </w:rPr>
        <w:t xml:space="preserve"> were taken into account</w:t>
      </w:r>
      <w:r w:rsidR="003A01BD" w:rsidRPr="00944F24">
        <w:rPr>
          <w:lang w:val="en-GB"/>
        </w:rPr>
        <w:t>.</w:t>
      </w:r>
      <w:r w:rsidRPr="00944F24">
        <w:rPr>
          <w:lang w:val="en-GB"/>
        </w:rPr>
        <w:t xml:space="preserve"> </w:t>
      </w:r>
      <w:r w:rsidR="003A01BD" w:rsidRPr="00944F24">
        <w:rPr>
          <w:lang w:val="en-GB"/>
        </w:rPr>
        <w:t>P</w:t>
      </w:r>
      <w:r w:rsidRPr="00944F24">
        <w:rPr>
          <w:lang w:val="en-GB"/>
        </w:rPr>
        <w:t>atients</w:t>
      </w:r>
      <w:r w:rsidR="002B4829">
        <w:rPr>
          <w:lang w:val="en-GB"/>
        </w:rPr>
        <w:t>,</w:t>
      </w:r>
      <w:r w:rsidRPr="00944F24">
        <w:rPr>
          <w:lang w:val="en-GB"/>
        </w:rPr>
        <w:t xml:space="preserve"> </w:t>
      </w:r>
      <w:r w:rsidR="003A01BD" w:rsidRPr="00944F24">
        <w:rPr>
          <w:lang w:val="en-GB"/>
        </w:rPr>
        <w:t xml:space="preserve">who </w:t>
      </w:r>
      <w:r w:rsidR="00481271">
        <w:rPr>
          <w:lang w:val="en-GB"/>
        </w:rPr>
        <w:t xml:space="preserve">were unable to speak Danish or who </w:t>
      </w:r>
      <w:r w:rsidR="003A01BD" w:rsidRPr="00944F24">
        <w:rPr>
          <w:lang w:val="en-GB"/>
        </w:rPr>
        <w:t xml:space="preserve">were </w:t>
      </w:r>
      <w:r w:rsidRPr="00944F24">
        <w:rPr>
          <w:lang w:val="en-GB"/>
        </w:rPr>
        <w:t xml:space="preserve">not able to remember </w:t>
      </w:r>
      <w:r w:rsidR="003A01BD" w:rsidRPr="00944F24">
        <w:rPr>
          <w:lang w:val="en-GB"/>
        </w:rPr>
        <w:t xml:space="preserve">the </w:t>
      </w:r>
      <w:r w:rsidRPr="00944F24">
        <w:rPr>
          <w:lang w:val="en-GB"/>
        </w:rPr>
        <w:t xml:space="preserve">treatment </w:t>
      </w:r>
      <w:r w:rsidR="00481271">
        <w:rPr>
          <w:lang w:val="en-GB"/>
        </w:rPr>
        <w:t>due to</w:t>
      </w:r>
      <w:r w:rsidRPr="00944F24">
        <w:rPr>
          <w:lang w:val="en-GB"/>
        </w:rPr>
        <w:t xml:space="preserve"> dementia</w:t>
      </w:r>
      <w:r w:rsidR="003A01BD" w:rsidRPr="00944F24">
        <w:rPr>
          <w:lang w:val="en-GB"/>
        </w:rPr>
        <w:t xml:space="preserve">, </w:t>
      </w:r>
      <w:r w:rsidRPr="00944F24">
        <w:rPr>
          <w:lang w:val="en-GB"/>
        </w:rPr>
        <w:t>were</w:t>
      </w:r>
      <w:r w:rsidR="003A01BD" w:rsidRPr="00944F24">
        <w:rPr>
          <w:lang w:val="en-GB"/>
        </w:rPr>
        <w:t xml:space="preserve"> not included</w:t>
      </w:r>
      <w:r w:rsidRPr="00944F24">
        <w:rPr>
          <w:lang w:val="en-GB"/>
        </w:rPr>
        <w:t>.</w:t>
      </w:r>
    </w:p>
    <w:p w14:paraId="05979A2E" w14:textId="77777777" w:rsidR="00A921E2" w:rsidRDefault="00A921E2" w:rsidP="004F742F">
      <w:pPr>
        <w:spacing w:after="0" w:line="480" w:lineRule="auto"/>
        <w:rPr>
          <w:i/>
          <w:lang w:val="en-GB"/>
        </w:rPr>
      </w:pPr>
    </w:p>
    <w:p w14:paraId="664D7FE3" w14:textId="1CAEB4BF" w:rsidR="009D799E" w:rsidRPr="00560E34" w:rsidRDefault="009D799E" w:rsidP="004F742F">
      <w:pPr>
        <w:spacing w:after="0" w:line="480" w:lineRule="auto"/>
        <w:rPr>
          <w:b/>
          <w:i/>
          <w:lang w:val="en-GB"/>
        </w:rPr>
      </w:pPr>
      <w:r w:rsidRPr="00560E34">
        <w:rPr>
          <w:b/>
          <w:i/>
          <w:lang w:val="en-GB"/>
        </w:rPr>
        <w:t>Post PAAG treatment knee surgery</w:t>
      </w:r>
    </w:p>
    <w:p w14:paraId="2E5E6279" w14:textId="65635528" w:rsidR="009D799E" w:rsidRPr="00944F24" w:rsidRDefault="009D799E" w:rsidP="004F742F">
      <w:pPr>
        <w:spacing w:after="0" w:line="480" w:lineRule="auto"/>
        <w:rPr>
          <w:lang w:val="en-GB"/>
        </w:rPr>
      </w:pPr>
      <w:r w:rsidRPr="00944F24">
        <w:rPr>
          <w:lang w:val="en-GB"/>
        </w:rPr>
        <w:t>For p</w:t>
      </w:r>
      <w:r w:rsidR="00F959AD" w:rsidRPr="00944F24">
        <w:rPr>
          <w:lang w:val="en-GB"/>
        </w:rPr>
        <w:t xml:space="preserve">atients </w:t>
      </w:r>
      <w:r w:rsidR="003A01BD" w:rsidRPr="00944F24">
        <w:rPr>
          <w:lang w:val="en-GB"/>
        </w:rPr>
        <w:t>who</w:t>
      </w:r>
      <w:r w:rsidRPr="00944F24">
        <w:rPr>
          <w:lang w:val="en-GB"/>
        </w:rPr>
        <w:t xml:space="preserve"> </w:t>
      </w:r>
      <w:r w:rsidR="00F959AD" w:rsidRPr="00944F24">
        <w:rPr>
          <w:lang w:val="en-GB"/>
        </w:rPr>
        <w:t xml:space="preserve">had undergone surgery after </w:t>
      </w:r>
      <w:r w:rsidR="003A01BD" w:rsidRPr="00944F24">
        <w:rPr>
          <w:lang w:val="en-GB"/>
        </w:rPr>
        <w:t xml:space="preserve">the </w:t>
      </w:r>
      <w:r w:rsidR="00F959AD" w:rsidRPr="00944F24">
        <w:rPr>
          <w:lang w:val="en-GB"/>
        </w:rPr>
        <w:t>treatment with PAAG</w:t>
      </w:r>
      <w:r w:rsidR="00AD5060">
        <w:rPr>
          <w:lang w:val="en-GB"/>
        </w:rPr>
        <w:t>,</w:t>
      </w:r>
      <w:r w:rsidR="00F959AD" w:rsidRPr="00944F24">
        <w:rPr>
          <w:lang w:val="en-GB"/>
        </w:rPr>
        <w:t xml:space="preserve"> the </w:t>
      </w:r>
      <w:r w:rsidR="003A01BD" w:rsidRPr="00944F24">
        <w:rPr>
          <w:lang w:val="en-GB"/>
        </w:rPr>
        <w:t xml:space="preserve">surgical reports were retrieved and </w:t>
      </w:r>
      <w:r w:rsidRPr="00944F24">
        <w:rPr>
          <w:lang w:val="en-GB"/>
        </w:rPr>
        <w:t>reviewed</w:t>
      </w:r>
      <w:r w:rsidR="00F959AD" w:rsidRPr="00944F24">
        <w:rPr>
          <w:lang w:val="en-GB"/>
        </w:rPr>
        <w:t xml:space="preserve"> </w:t>
      </w:r>
      <w:r w:rsidRPr="00944F24">
        <w:rPr>
          <w:lang w:val="en-GB"/>
        </w:rPr>
        <w:t xml:space="preserve">for descriptions of </w:t>
      </w:r>
      <w:r w:rsidR="003A01BD" w:rsidRPr="00944F24">
        <w:rPr>
          <w:lang w:val="en-GB"/>
        </w:rPr>
        <w:t xml:space="preserve">any </w:t>
      </w:r>
      <w:r w:rsidRPr="00944F24">
        <w:rPr>
          <w:lang w:val="en-GB"/>
        </w:rPr>
        <w:t>abnormal findings during the surgery (i.e. unexpected findings e.g. foreign bodies, granulomas, excess fibrosis, discoloration etc.).</w:t>
      </w:r>
    </w:p>
    <w:p w14:paraId="240286F7" w14:textId="77777777" w:rsidR="00A921E2" w:rsidRDefault="00A921E2" w:rsidP="004F742F">
      <w:pPr>
        <w:spacing w:after="0" w:line="480" w:lineRule="auto"/>
        <w:rPr>
          <w:i/>
          <w:lang w:val="en-GB"/>
        </w:rPr>
      </w:pPr>
    </w:p>
    <w:p w14:paraId="0C0EF389" w14:textId="77777777" w:rsidR="00967ACC" w:rsidRPr="00944F24" w:rsidRDefault="00967ACC" w:rsidP="004F742F">
      <w:pPr>
        <w:spacing w:after="0" w:line="480" w:lineRule="auto"/>
        <w:rPr>
          <w:b/>
          <w:lang w:val="en-GB"/>
        </w:rPr>
      </w:pPr>
      <w:r w:rsidRPr="00944F24">
        <w:rPr>
          <w:b/>
          <w:lang w:val="en-GB"/>
        </w:rPr>
        <w:br w:type="page"/>
      </w:r>
    </w:p>
    <w:p w14:paraId="483FE270" w14:textId="404AAE56" w:rsidR="00E34CF3" w:rsidRPr="00944F24" w:rsidRDefault="00FF660A" w:rsidP="00560E34">
      <w:pPr>
        <w:pStyle w:val="Overskrift2"/>
        <w:rPr>
          <w:lang w:val="en-GB"/>
        </w:rPr>
      </w:pPr>
      <w:r w:rsidRPr="00944F24">
        <w:rPr>
          <w:lang w:val="en-GB"/>
        </w:rPr>
        <w:lastRenderedPageBreak/>
        <w:t>RESULTS</w:t>
      </w:r>
    </w:p>
    <w:p w14:paraId="037C94C3" w14:textId="13A6D19B" w:rsidR="00A744AB" w:rsidRPr="00944F24" w:rsidRDefault="003058E3" w:rsidP="004F742F">
      <w:pPr>
        <w:spacing w:after="0" w:line="480" w:lineRule="auto"/>
        <w:rPr>
          <w:lang w:val="en-GB"/>
        </w:rPr>
      </w:pPr>
      <w:r w:rsidRPr="00944F24">
        <w:rPr>
          <w:lang w:val="en-GB"/>
        </w:rPr>
        <w:t xml:space="preserve">128 </w:t>
      </w:r>
      <w:r w:rsidR="00071025">
        <w:rPr>
          <w:lang w:val="en-GB"/>
        </w:rPr>
        <w:t xml:space="preserve">domestic patients </w:t>
      </w:r>
      <w:r w:rsidRPr="00944F24">
        <w:rPr>
          <w:lang w:val="en-GB"/>
        </w:rPr>
        <w:t xml:space="preserve">were </w:t>
      </w:r>
      <w:r w:rsidR="002B4829">
        <w:rPr>
          <w:lang w:val="en-GB"/>
        </w:rPr>
        <w:t>identified in the files of the Rheumatology and Sports Clinic. All</w:t>
      </w:r>
      <w:r w:rsidR="00071025">
        <w:rPr>
          <w:lang w:val="en-GB"/>
        </w:rPr>
        <w:t xml:space="preserve"> </w:t>
      </w:r>
      <w:r w:rsidR="002B4829">
        <w:rPr>
          <w:lang w:val="en-GB"/>
        </w:rPr>
        <w:t xml:space="preserve">received a letter explaining the study as a </w:t>
      </w:r>
      <w:r w:rsidRPr="00944F24">
        <w:rPr>
          <w:lang w:val="en-GB"/>
        </w:rPr>
        <w:t>safety assessment</w:t>
      </w:r>
      <w:r w:rsidR="005420CB">
        <w:rPr>
          <w:lang w:val="en-GB"/>
        </w:rPr>
        <w:t xml:space="preserve"> and, in case of no response, contact was attempted by telephone. </w:t>
      </w:r>
      <w:r w:rsidR="00A744AB" w:rsidRPr="00944F24">
        <w:rPr>
          <w:lang w:val="en-GB"/>
        </w:rPr>
        <w:t>91 responded to the invitation and represent the current retrospective safety population (SP –</w:t>
      </w:r>
      <w:r w:rsidR="00967ACC" w:rsidRPr="00944F24">
        <w:rPr>
          <w:lang w:val="en-GB"/>
        </w:rPr>
        <w:t xml:space="preserve"> F</w:t>
      </w:r>
      <w:r w:rsidR="00A744AB" w:rsidRPr="00944F24">
        <w:rPr>
          <w:lang w:val="en-GB"/>
        </w:rPr>
        <w:t xml:space="preserve">igure I). Of the 91 patients in the SP, 74 were examined at the outpatient clinic, and 17 patients participated by way of </w:t>
      </w:r>
      <w:r w:rsidR="00AD5060">
        <w:rPr>
          <w:lang w:val="en-GB"/>
        </w:rPr>
        <w:t xml:space="preserve">a </w:t>
      </w:r>
      <w:r w:rsidR="00A744AB" w:rsidRPr="00944F24">
        <w:rPr>
          <w:lang w:val="en-GB"/>
        </w:rPr>
        <w:t>telephone interview. There were 46 (51%) females and 45 (49%) males. The average age of the patients was 70 years (SD 13 years, range 38 to 94). The safety assessment was done on average 24 months (range 4 to 87 months) after</w:t>
      </w:r>
      <w:r w:rsidR="00AD5060">
        <w:rPr>
          <w:lang w:val="en-GB"/>
        </w:rPr>
        <w:t xml:space="preserve"> the</w:t>
      </w:r>
      <w:r w:rsidR="00A744AB" w:rsidRPr="00944F24">
        <w:rPr>
          <w:lang w:val="en-GB"/>
        </w:rPr>
        <w:t xml:space="preserve"> first treatment with PAAG. Reasons for non-inclusion in the safety population were</w:t>
      </w:r>
      <w:r w:rsidR="007245A4">
        <w:rPr>
          <w:lang w:val="en-GB"/>
        </w:rPr>
        <w:t>:</w:t>
      </w:r>
      <w:r w:rsidR="00A744AB" w:rsidRPr="00944F24">
        <w:rPr>
          <w:lang w:val="en-GB"/>
        </w:rPr>
        <w:t xml:space="preserve"> </w:t>
      </w:r>
      <w:r w:rsidR="007245A4">
        <w:rPr>
          <w:lang w:val="en-GB"/>
        </w:rPr>
        <w:t>N</w:t>
      </w:r>
      <w:r w:rsidR="007245A4" w:rsidRPr="00944F24">
        <w:rPr>
          <w:lang w:val="en-GB"/>
        </w:rPr>
        <w:t xml:space="preserve">ot </w:t>
      </w:r>
      <w:r w:rsidR="00A744AB" w:rsidRPr="00944F24">
        <w:rPr>
          <w:lang w:val="en-GB"/>
        </w:rPr>
        <w:t>responding to the invitation (n=14)</w:t>
      </w:r>
      <w:r w:rsidR="007245A4">
        <w:rPr>
          <w:lang w:val="en-GB"/>
        </w:rPr>
        <w:t xml:space="preserve"> and</w:t>
      </w:r>
      <w:r w:rsidR="00A744AB" w:rsidRPr="00944F24">
        <w:rPr>
          <w:lang w:val="en-GB"/>
        </w:rPr>
        <w:t xml:space="preserve"> declining </w:t>
      </w:r>
      <w:r w:rsidR="007245A4">
        <w:rPr>
          <w:lang w:val="en-GB"/>
        </w:rPr>
        <w:t>the invitation</w:t>
      </w:r>
      <w:r w:rsidR="00A744AB" w:rsidRPr="00944F24">
        <w:rPr>
          <w:lang w:val="en-GB"/>
        </w:rPr>
        <w:t xml:space="preserve"> (n=13). Other reasons were death (n=3), do not remember treatment (n=2), dementia (n=1)</w:t>
      </w:r>
      <w:r w:rsidR="007245A4">
        <w:rPr>
          <w:lang w:val="en-GB"/>
        </w:rPr>
        <w:t>,</w:t>
      </w:r>
      <w:r w:rsidR="00A744AB" w:rsidRPr="00944F24">
        <w:rPr>
          <w:lang w:val="en-GB"/>
        </w:rPr>
        <w:t xml:space="preserve"> do not speak Danish (n=1)</w:t>
      </w:r>
      <w:r w:rsidR="007245A4">
        <w:rPr>
          <w:lang w:val="en-GB"/>
        </w:rPr>
        <w:t>,</w:t>
      </w:r>
      <w:r w:rsidR="00A744AB" w:rsidRPr="00944F24">
        <w:rPr>
          <w:lang w:val="en-GB"/>
        </w:rPr>
        <w:t xml:space="preserve"> and lastly the patients that did not show at the appointed time at the outpatient clinic (n=3)</w:t>
      </w:r>
      <w:r w:rsidR="001E090A" w:rsidRPr="00944F24">
        <w:rPr>
          <w:lang w:val="en-GB"/>
        </w:rPr>
        <w:t xml:space="preserve"> (appendix</w:t>
      </w:r>
      <w:r w:rsidR="000D077C" w:rsidRPr="00944F24">
        <w:rPr>
          <w:lang w:val="en-GB"/>
        </w:rPr>
        <w:t xml:space="preserve"> figure 1</w:t>
      </w:r>
      <w:r w:rsidR="001E090A" w:rsidRPr="00944F24">
        <w:rPr>
          <w:lang w:val="en-GB"/>
        </w:rPr>
        <w:t>)</w:t>
      </w:r>
      <w:r w:rsidR="007245A4">
        <w:rPr>
          <w:lang w:val="en-GB"/>
        </w:rPr>
        <w:t>.</w:t>
      </w:r>
    </w:p>
    <w:p w14:paraId="10008AAC" w14:textId="77777777" w:rsidR="00A921E2" w:rsidRDefault="00A921E2" w:rsidP="004F742F">
      <w:pPr>
        <w:spacing w:after="0" w:line="480" w:lineRule="auto"/>
        <w:rPr>
          <w:i/>
          <w:lang w:val="en-GB"/>
        </w:rPr>
      </w:pPr>
    </w:p>
    <w:p w14:paraId="6883D8AD" w14:textId="77777777" w:rsidR="00657187" w:rsidRPr="00560E34" w:rsidRDefault="00657187" w:rsidP="004F742F">
      <w:pPr>
        <w:spacing w:after="0" w:line="480" w:lineRule="auto"/>
        <w:rPr>
          <w:b/>
          <w:i/>
          <w:lang w:val="en-GB"/>
        </w:rPr>
      </w:pPr>
      <w:r w:rsidRPr="00560E34">
        <w:rPr>
          <w:b/>
          <w:i/>
          <w:lang w:val="en-GB"/>
        </w:rPr>
        <w:t xml:space="preserve">Safety assessment </w:t>
      </w:r>
    </w:p>
    <w:p w14:paraId="2BF19047" w14:textId="3420E4BB" w:rsidR="00997EE2" w:rsidRDefault="000D44E9" w:rsidP="004F742F">
      <w:pPr>
        <w:spacing w:after="0" w:line="480" w:lineRule="auto"/>
        <w:rPr>
          <w:lang w:val="en-GB"/>
        </w:rPr>
      </w:pPr>
      <w:r w:rsidRPr="00944F24">
        <w:rPr>
          <w:lang w:val="en-GB"/>
        </w:rPr>
        <w:t>The majority of the patients (n=6</w:t>
      </w:r>
      <w:r w:rsidR="00073114">
        <w:rPr>
          <w:lang w:val="en-GB"/>
        </w:rPr>
        <w:t>6</w:t>
      </w:r>
      <w:r w:rsidRPr="00944F24">
        <w:rPr>
          <w:lang w:val="en-GB"/>
        </w:rPr>
        <w:t xml:space="preserve">; 73%) reported no discomfort or untoward events in relation to the treatment of their knee OA with </w:t>
      </w:r>
      <w:r w:rsidR="00E77046">
        <w:rPr>
          <w:lang w:val="en-GB"/>
        </w:rPr>
        <w:t>IA</w:t>
      </w:r>
      <w:r w:rsidRPr="00944F24">
        <w:rPr>
          <w:lang w:val="en-GB"/>
        </w:rPr>
        <w:t xml:space="preserve"> PAAG.</w:t>
      </w:r>
      <w:r w:rsidR="0005378C" w:rsidRPr="00944F24">
        <w:rPr>
          <w:lang w:val="en-GB"/>
        </w:rPr>
        <w:t xml:space="preserve"> </w:t>
      </w:r>
      <w:r w:rsidRPr="00944F24">
        <w:rPr>
          <w:lang w:val="en-GB"/>
        </w:rPr>
        <w:t>25 patients (27%) report</w:t>
      </w:r>
      <w:r w:rsidR="003058E3" w:rsidRPr="00944F24">
        <w:rPr>
          <w:lang w:val="en-GB"/>
        </w:rPr>
        <w:t>ed</w:t>
      </w:r>
      <w:r w:rsidRPr="00944F24">
        <w:rPr>
          <w:lang w:val="en-GB"/>
        </w:rPr>
        <w:t xml:space="preserve"> adverse events</w:t>
      </w:r>
      <w:r w:rsidR="008B2E63" w:rsidRPr="00944F24">
        <w:rPr>
          <w:lang w:val="en-GB"/>
        </w:rPr>
        <w:t>/discomforts</w:t>
      </w:r>
      <w:r w:rsidR="003058E3" w:rsidRPr="00944F24">
        <w:rPr>
          <w:lang w:val="en-GB"/>
        </w:rPr>
        <w:t>.</w:t>
      </w:r>
      <w:r w:rsidR="00DA7089" w:rsidRPr="00944F24">
        <w:rPr>
          <w:lang w:val="en-GB"/>
        </w:rPr>
        <w:t xml:space="preserve"> </w:t>
      </w:r>
      <w:r w:rsidR="0089700B" w:rsidRPr="00944F24">
        <w:rPr>
          <w:lang w:val="en-GB"/>
        </w:rPr>
        <w:t>The</w:t>
      </w:r>
      <w:r w:rsidR="007245A4">
        <w:rPr>
          <w:lang w:val="en-GB"/>
        </w:rPr>
        <w:t>se</w:t>
      </w:r>
      <w:r w:rsidR="0089700B" w:rsidRPr="00944F24">
        <w:rPr>
          <w:lang w:val="en-GB"/>
        </w:rPr>
        <w:t xml:space="preserve"> 25 patients reported 41 </w:t>
      </w:r>
      <w:r w:rsidR="004E7FDC" w:rsidRPr="00944F24">
        <w:rPr>
          <w:lang w:val="en-GB"/>
        </w:rPr>
        <w:t xml:space="preserve">items </w:t>
      </w:r>
      <w:r w:rsidR="0089700B" w:rsidRPr="00944F24">
        <w:rPr>
          <w:lang w:val="en-GB"/>
        </w:rPr>
        <w:t>of discomfort</w:t>
      </w:r>
      <w:r w:rsidR="007245A4">
        <w:rPr>
          <w:lang w:val="en-GB"/>
        </w:rPr>
        <w:t>. M</w:t>
      </w:r>
      <w:r w:rsidR="004E7FDC" w:rsidRPr="00944F24">
        <w:rPr>
          <w:lang w:val="en-GB"/>
        </w:rPr>
        <w:t xml:space="preserve">ost </w:t>
      </w:r>
      <w:r w:rsidR="007245A4">
        <w:rPr>
          <w:lang w:val="en-GB"/>
        </w:rPr>
        <w:t xml:space="preserve">patients </w:t>
      </w:r>
      <w:r w:rsidR="004E7FDC" w:rsidRPr="00944F24">
        <w:rPr>
          <w:lang w:val="en-GB"/>
        </w:rPr>
        <w:t>(n=13) reported only 1 item and 4 patients reported 3 or more items</w:t>
      </w:r>
      <w:r w:rsidR="00CF4294" w:rsidRPr="00944F24">
        <w:rPr>
          <w:lang w:val="en-GB"/>
        </w:rPr>
        <w:t xml:space="preserve">. </w:t>
      </w:r>
      <w:r w:rsidR="00DA7089" w:rsidRPr="00944F24">
        <w:rPr>
          <w:lang w:val="en-GB"/>
        </w:rPr>
        <w:t>Patients reported mostly</w:t>
      </w:r>
      <w:r w:rsidR="00FA5410" w:rsidRPr="00944F24">
        <w:rPr>
          <w:lang w:val="en-GB"/>
        </w:rPr>
        <w:t xml:space="preserve"> a sensation of distention (n=15) and </w:t>
      </w:r>
      <w:r w:rsidR="005420CB">
        <w:rPr>
          <w:lang w:val="en-GB"/>
        </w:rPr>
        <w:t xml:space="preserve">worsening of </w:t>
      </w:r>
      <w:r w:rsidR="00FA5410" w:rsidRPr="00944F24">
        <w:rPr>
          <w:lang w:val="en-GB"/>
        </w:rPr>
        <w:t xml:space="preserve">pain from target knee (n=7). </w:t>
      </w:r>
      <w:r w:rsidR="00DA7089" w:rsidRPr="00944F24">
        <w:rPr>
          <w:lang w:val="en-GB"/>
        </w:rPr>
        <w:t xml:space="preserve"> </w:t>
      </w:r>
      <w:r w:rsidR="00DF7C3A" w:rsidRPr="00944F24">
        <w:rPr>
          <w:lang w:val="en-GB"/>
        </w:rPr>
        <w:t>To a lesser extent</w:t>
      </w:r>
      <w:r w:rsidR="00AD5060">
        <w:rPr>
          <w:lang w:val="en-GB"/>
        </w:rPr>
        <w:t>,</w:t>
      </w:r>
      <w:r w:rsidR="00DF7C3A" w:rsidRPr="00944F24">
        <w:rPr>
          <w:lang w:val="en-GB"/>
        </w:rPr>
        <w:t xml:space="preserve"> the patients reported other pain </w:t>
      </w:r>
      <w:r w:rsidR="007245A4">
        <w:rPr>
          <w:lang w:val="en-GB"/>
        </w:rPr>
        <w:t>in the</w:t>
      </w:r>
      <w:r w:rsidR="007245A4" w:rsidRPr="00944F24">
        <w:rPr>
          <w:lang w:val="en-GB"/>
        </w:rPr>
        <w:t xml:space="preserve"> </w:t>
      </w:r>
      <w:r w:rsidR="007245A4">
        <w:rPr>
          <w:lang w:val="en-GB"/>
        </w:rPr>
        <w:t>leg</w:t>
      </w:r>
      <w:r w:rsidR="007245A4" w:rsidRPr="00944F24">
        <w:rPr>
          <w:lang w:val="en-GB"/>
        </w:rPr>
        <w:t xml:space="preserve"> </w:t>
      </w:r>
      <w:r w:rsidR="00DF7C3A" w:rsidRPr="00944F24">
        <w:rPr>
          <w:lang w:val="en-GB"/>
        </w:rPr>
        <w:t xml:space="preserve">and muscle discomforts and </w:t>
      </w:r>
      <w:r w:rsidR="0089700B" w:rsidRPr="00944F24">
        <w:rPr>
          <w:lang w:val="en-GB"/>
        </w:rPr>
        <w:t>soreness</w:t>
      </w:r>
      <w:r w:rsidR="00DF7C3A" w:rsidRPr="00944F24">
        <w:rPr>
          <w:lang w:val="en-GB"/>
        </w:rPr>
        <w:t xml:space="preserve"> (n=6).</w:t>
      </w:r>
      <w:r w:rsidR="000526C3" w:rsidRPr="00944F24">
        <w:rPr>
          <w:lang w:val="en-GB"/>
        </w:rPr>
        <w:t xml:space="preserve"> There were 4 reports of </w:t>
      </w:r>
      <w:r w:rsidR="00AD5060">
        <w:rPr>
          <w:lang w:val="en-GB"/>
        </w:rPr>
        <w:t xml:space="preserve">a </w:t>
      </w:r>
      <w:r w:rsidR="00DF7C3A" w:rsidRPr="00944F24">
        <w:rPr>
          <w:lang w:val="en-GB"/>
        </w:rPr>
        <w:t xml:space="preserve">reduced range of motion and </w:t>
      </w:r>
      <w:r w:rsidR="000526C3" w:rsidRPr="00944F24">
        <w:rPr>
          <w:lang w:val="en-GB"/>
        </w:rPr>
        <w:t xml:space="preserve">2 of stiffness. </w:t>
      </w:r>
    </w:p>
    <w:p w14:paraId="1EEC2B48" w14:textId="35A2E663" w:rsidR="00997EE2" w:rsidRDefault="00997EE2" w:rsidP="004F742F">
      <w:pPr>
        <w:spacing w:after="0" w:line="480" w:lineRule="auto"/>
        <w:rPr>
          <w:lang w:val="en-GB"/>
        </w:rPr>
      </w:pPr>
      <w:r>
        <w:rPr>
          <w:lang w:val="en-GB"/>
        </w:rPr>
        <w:t>Seven n</w:t>
      </w:r>
      <w:r w:rsidRPr="00944F24">
        <w:rPr>
          <w:lang w:val="en-GB"/>
        </w:rPr>
        <w:t xml:space="preserve">eurological </w:t>
      </w:r>
      <w:r w:rsidR="000526C3" w:rsidRPr="00944F24">
        <w:rPr>
          <w:lang w:val="en-GB"/>
        </w:rPr>
        <w:t xml:space="preserve">symptoms </w:t>
      </w:r>
      <w:r>
        <w:rPr>
          <w:lang w:val="en-GB"/>
        </w:rPr>
        <w:t xml:space="preserve">such as </w:t>
      </w:r>
      <w:r w:rsidR="000526C3" w:rsidRPr="00944F24">
        <w:rPr>
          <w:lang w:val="en-GB"/>
        </w:rPr>
        <w:t>a prickling sensation</w:t>
      </w:r>
      <w:r w:rsidR="007245A4">
        <w:rPr>
          <w:lang w:val="en-GB"/>
        </w:rPr>
        <w:t>,</w:t>
      </w:r>
      <w:r w:rsidR="000526C3" w:rsidRPr="00944F24">
        <w:rPr>
          <w:lang w:val="en-GB"/>
        </w:rPr>
        <w:t xml:space="preserve"> numbness</w:t>
      </w:r>
      <w:r w:rsidR="007245A4">
        <w:rPr>
          <w:lang w:val="en-GB"/>
        </w:rPr>
        <w:t>,</w:t>
      </w:r>
      <w:r w:rsidR="000526C3" w:rsidRPr="00944F24">
        <w:rPr>
          <w:lang w:val="en-GB"/>
        </w:rPr>
        <w:t xml:space="preserve"> burning or feeling of cold or heat</w:t>
      </w:r>
      <w:r w:rsidR="0089700B" w:rsidRPr="00944F24">
        <w:rPr>
          <w:lang w:val="en-GB"/>
        </w:rPr>
        <w:t xml:space="preserve"> were </w:t>
      </w:r>
      <w:r>
        <w:rPr>
          <w:lang w:val="en-GB"/>
        </w:rPr>
        <w:t xml:space="preserve">reported (table </w:t>
      </w:r>
      <w:r w:rsidR="000D077C" w:rsidRPr="00944F24">
        <w:rPr>
          <w:lang w:val="en-GB"/>
        </w:rPr>
        <w:t>2</w:t>
      </w:r>
      <w:r>
        <w:rPr>
          <w:lang w:val="en-GB"/>
        </w:rPr>
        <w:t>)</w:t>
      </w:r>
      <w:r w:rsidR="000526C3" w:rsidRPr="00944F24">
        <w:rPr>
          <w:lang w:val="en-GB"/>
        </w:rPr>
        <w:t>.</w:t>
      </w:r>
      <w:r w:rsidR="00B6307C" w:rsidRPr="00944F24">
        <w:rPr>
          <w:lang w:val="en-GB"/>
        </w:rPr>
        <w:t xml:space="preserve"> </w:t>
      </w:r>
    </w:p>
    <w:p w14:paraId="34D9ECAF" w14:textId="6D0FCD35" w:rsidR="00997EE2" w:rsidRDefault="00FA5410" w:rsidP="004F742F">
      <w:pPr>
        <w:spacing w:after="0" w:line="480" w:lineRule="auto"/>
        <w:rPr>
          <w:lang w:val="en-GB"/>
        </w:rPr>
      </w:pPr>
      <w:r w:rsidRPr="00944F24">
        <w:rPr>
          <w:lang w:val="en-GB"/>
        </w:rPr>
        <w:t>Of the 7 patients reporting pain from target knee 4</w:t>
      </w:r>
      <w:r w:rsidR="00DF7C3A" w:rsidRPr="00944F24">
        <w:rPr>
          <w:lang w:val="en-GB"/>
        </w:rPr>
        <w:t xml:space="preserve"> </w:t>
      </w:r>
      <w:r w:rsidRPr="00944F24">
        <w:rPr>
          <w:lang w:val="en-GB"/>
        </w:rPr>
        <w:t xml:space="preserve">reported the pain to be severe. All patients reporting pain described the duration of the event to be resolved within weeks. </w:t>
      </w:r>
      <w:r w:rsidR="004E7FDC" w:rsidRPr="00944F24">
        <w:rPr>
          <w:lang w:val="en-GB"/>
        </w:rPr>
        <w:t xml:space="preserve">The patients reporting distention of </w:t>
      </w:r>
      <w:r w:rsidR="004E7FDC" w:rsidRPr="00944F24">
        <w:rPr>
          <w:lang w:val="en-GB"/>
        </w:rPr>
        <w:lastRenderedPageBreak/>
        <w:t xml:space="preserve">the knee </w:t>
      </w:r>
      <w:r w:rsidR="00CF4294" w:rsidRPr="00944F24">
        <w:rPr>
          <w:lang w:val="en-GB"/>
        </w:rPr>
        <w:t>mostly (n=10)</w:t>
      </w:r>
      <w:r w:rsidR="004E7FDC" w:rsidRPr="00944F24">
        <w:rPr>
          <w:lang w:val="en-GB"/>
        </w:rPr>
        <w:t xml:space="preserve"> described this to be mild and 14 of the 15 patients reported the distention to resolve within weeks</w:t>
      </w:r>
      <w:r w:rsidR="005420CB">
        <w:rPr>
          <w:lang w:val="en-GB"/>
        </w:rPr>
        <w:t xml:space="preserve">, while in one case </w:t>
      </w:r>
      <w:r w:rsidR="005E5EDC">
        <w:rPr>
          <w:lang w:val="en-GB"/>
        </w:rPr>
        <w:t xml:space="preserve">the patient described the effect to last more than a month. </w:t>
      </w:r>
    </w:p>
    <w:p w14:paraId="630E3A65" w14:textId="01C3EE58" w:rsidR="004E7FDC" w:rsidRPr="00944F24" w:rsidRDefault="004E7FDC" w:rsidP="004F742F">
      <w:pPr>
        <w:spacing w:after="0" w:line="480" w:lineRule="auto"/>
        <w:rPr>
          <w:lang w:val="en-GB"/>
        </w:rPr>
      </w:pPr>
      <w:r w:rsidRPr="00944F24">
        <w:rPr>
          <w:lang w:val="en-GB"/>
        </w:rPr>
        <w:t xml:space="preserve">There were 5 reports of </w:t>
      </w:r>
      <w:r w:rsidR="00CF4294" w:rsidRPr="00944F24">
        <w:rPr>
          <w:lang w:val="en-GB"/>
        </w:rPr>
        <w:t>discomforts</w:t>
      </w:r>
      <w:r w:rsidRPr="00944F24">
        <w:rPr>
          <w:lang w:val="en-GB"/>
        </w:rPr>
        <w:t xml:space="preserve"> lasting more than a mont</w:t>
      </w:r>
      <w:r w:rsidR="00CF4294" w:rsidRPr="00944F24">
        <w:rPr>
          <w:lang w:val="en-GB"/>
        </w:rPr>
        <w:t>h</w:t>
      </w:r>
      <w:r w:rsidR="00DC4267">
        <w:rPr>
          <w:lang w:val="en-GB"/>
        </w:rPr>
        <w:t xml:space="preserve"> from initial treatment</w:t>
      </w:r>
      <w:r w:rsidRPr="00944F24">
        <w:rPr>
          <w:lang w:val="en-GB"/>
        </w:rPr>
        <w:t xml:space="preserve"> </w:t>
      </w:r>
      <w:r w:rsidR="00CF4294" w:rsidRPr="00944F24">
        <w:rPr>
          <w:lang w:val="en-GB"/>
        </w:rPr>
        <w:t xml:space="preserve">(Distention, </w:t>
      </w:r>
      <w:r w:rsidR="008B4FC7">
        <w:rPr>
          <w:lang w:val="en-GB"/>
        </w:rPr>
        <w:t xml:space="preserve">reduced </w:t>
      </w:r>
      <w:r w:rsidR="00CF4294" w:rsidRPr="00944F24">
        <w:rPr>
          <w:lang w:val="en-GB"/>
        </w:rPr>
        <w:t>range of motion, stiffness, cold sensation</w:t>
      </w:r>
      <w:r w:rsidR="00997EE2">
        <w:rPr>
          <w:lang w:val="en-GB"/>
        </w:rPr>
        <w:t>,</w:t>
      </w:r>
      <w:r w:rsidR="00CF4294" w:rsidRPr="00944F24">
        <w:rPr>
          <w:lang w:val="en-GB"/>
        </w:rPr>
        <w:t xml:space="preserve"> and </w:t>
      </w:r>
      <w:r w:rsidR="00B6307C" w:rsidRPr="00944F24">
        <w:rPr>
          <w:lang w:val="en-GB"/>
        </w:rPr>
        <w:t>prickling</w:t>
      </w:r>
      <w:r w:rsidR="00CF4294" w:rsidRPr="00944F24">
        <w:rPr>
          <w:lang w:val="en-GB"/>
        </w:rPr>
        <w:t xml:space="preserve"> sensation). </w:t>
      </w:r>
      <w:r w:rsidR="00F55CC5" w:rsidRPr="00944F24">
        <w:rPr>
          <w:lang w:val="en-GB"/>
        </w:rPr>
        <w:t>When interviewed none of the patients described lasting symptoms.</w:t>
      </w:r>
      <w:r w:rsidR="00E27EC4" w:rsidRPr="00944F24">
        <w:rPr>
          <w:lang w:val="en-GB"/>
        </w:rPr>
        <w:t xml:space="preserve"> Patient</w:t>
      </w:r>
      <w:r w:rsidR="00863D32">
        <w:rPr>
          <w:lang w:val="en-GB"/>
        </w:rPr>
        <w:t>-</w:t>
      </w:r>
      <w:r w:rsidR="00E27EC4" w:rsidRPr="00944F24">
        <w:rPr>
          <w:lang w:val="en-GB"/>
        </w:rPr>
        <w:t xml:space="preserve">reported </w:t>
      </w:r>
      <w:r w:rsidR="00997EE2">
        <w:rPr>
          <w:lang w:val="en-GB"/>
        </w:rPr>
        <w:t>s</w:t>
      </w:r>
      <w:r w:rsidR="00997EE2" w:rsidRPr="00944F24">
        <w:rPr>
          <w:lang w:val="en-GB"/>
        </w:rPr>
        <w:t xml:space="preserve">everity </w:t>
      </w:r>
      <w:r w:rsidR="00E27EC4" w:rsidRPr="00944F24">
        <w:rPr>
          <w:lang w:val="en-GB"/>
        </w:rPr>
        <w:t>and duration is summarized in</w:t>
      </w:r>
      <w:r w:rsidR="00F55CC5" w:rsidRPr="00944F24">
        <w:rPr>
          <w:lang w:val="en-GB"/>
        </w:rPr>
        <w:t xml:space="preserve"> </w:t>
      </w:r>
      <w:r w:rsidR="00E27EC4" w:rsidRPr="00944F24">
        <w:rPr>
          <w:lang w:val="en-GB"/>
        </w:rPr>
        <w:t>Tables 3 and 4.</w:t>
      </w:r>
      <w:r w:rsidR="00F55CC5" w:rsidRPr="00944F24">
        <w:rPr>
          <w:lang w:val="en-GB"/>
        </w:rPr>
        <w:t xml:space="preserve"> </w:t>
      </w:r>
    </w:p>
    <w:p w14:paraId="2941CEB7" w14:textId="34BC0AAC" w:rsidR="00227F82" w:rsidRPr="00944F24" w:rsidRDefault="00227F82" w:rsidP="004F742F">
      <w:pPr>
        <w:spacing w:after="0" w:line="480" w:lineRule="auto"/>
        <w:rPr>
          <w:lang w:val="en-GB"/>
        </w:rPr>
      </w:pPr>
      <w:r w:rsidRPr="00944F24">
        <w:rPr>
          <w:lang w:val="en-GB"/>
        </w:rPr>
        <w:t>Two patients</w:t>
      </w:r>
      <w:r w:rsidR="00924713" w:rsidRPr="00944F24">
        <w:rPr>
          <w:lang w:val="en-GB"/>
        </w:rPr>
        <w:t xml:space="preserve"> </w:t>
      </w:r>
      <w:r w:rsidRPr="00944F24">
        <w:rPr>
          <w:lang w:val="en-GB"/>
        </w:rPr>
        <w:t xml:space="preserve">reported </w:t>
      </w:r>
      <w:r w:rsidR="00997EE2">
        <w:rPr>
          <w:lang w:val="en-GB"/>
        </w:rPr>
        <w:t xml:space="preserve">to </w:t>
      </w:r>
      <w:r w:rsidRPr="00944F24">
        <w:rPr>
          <w:lang w:val="en-GB"/>
        </w:rPr>
        <w:t>hav</w:t>
      </w:r>
      <w:r w:rsidR="00997EE2">
        <w:rPr>
          <w:lang w:val="en-GB"/>
        </w:rPr>
        <w:t>e</w:t>
      </w:r>
      <w:r w:rsidRPr="00944F24">
        <w:rPr>
          <w:lang w:val="en-GB"/>
        </w:rPr>
        <w:t xml:space="preserve"> sought medical assistance </w:t>
      </w:r>
      <w:r w:rsidR="000526C3" w:rsidRPr="00944F24">
        <w:rPr>
          <w:lang w:val="en-GB"/>
        </w:rPr>
        <w:t>at the treating clinic</w:t>
      </w:r>
      <w:r w:rsidR="00924713" w:rsidRPr="00944F24">
        <w:rPr>
          <w:lang w:val="en-GB"/>
        </w:rPr>
        <w:t xml:space="preserve"> </w:t>
      </w:r>
      <w:r w:rsidRPr="00944F24">
        <w:rPr>
          <w:lang w:val="en-GB"/>
        </w:rPr>
        <w:t xml:space="preserve">because of </w:t>
      </w:r>
      <w:r w:rsidR="00924713" w:rsidRPr="00944F24">
        <w:rPr>
          <w:lang w:val="en-GB"/>
        </w:rPr>
        <w:t xml:space="preserve">knee </w:t>
      </w:r>
      <w:r w:rsidRPr="00944F24">
        <w:rPr>
          <w:lang w:val="en-GB"/>
        </w:rPr>
        <w:t xml:space="preserve">pain after the initial treatment. </w:t>
      </w:r>
      <w:r w:rsidR="00924713" w:rsidRPr="00944F24">
        <w:rPr>
          <w:lang w:val="en-GB"/>
        </w:rPr>
        <w:t>One</w:t>
      </w:r>
      <w:r w:rsidR="00257E62" w:rsidRPr="00944F24">
        <w:rPr>
          <w:lang w:val="en-GB"/>
        </w:rPr>
        <w:t xml:space="preserve"> </w:t>
      </w:r>
      <w:r w:rsidRPr="00944F24">
        <w:rPr>
          <w:lang w:val="en-GB"/>
        </w:rPr>
        <w:t>was treated with analgesics and was in remission after a week. The other had intraarticular effusion and was treated with recurrent arthrocentesis</w:t>
      </w:r>
      <w:r w:rsidR="005420CB">
        <w:rPr>
          <w:lang w:val="en-GB"/>
        </w:rPr>
        <w:t>,</w:t>
      </w:r>
      <w:r w:rsidRPr="00944F24">
        <w:rPr>
          <w:lang w:val="en-GB"/>
        </w:rPr>
        <w:t xml:space="preserve"> one and t</w:t>
      </w:r>
      <w:r w:rsidR="00924713" w:rsidRPr="00944F24">
        <w:rPr>
          <w:lang w:val="en-GB"/>
        </w:rPr>
        <w:t>h</w:t>
      </w:r>
      <w:r w:rsidRPr="00944F24">
        <w:rPr>
          <w:lang w:val="en-GB"/>
        </w:rPr>
        <w:t>ree week</w:t>
      </w:r>
      <w:r w:rsidR="00924713" w:rsidRPr="00944F24">
        <w:rPr>
          <w:lang w:val="en-GB"/>
        </w:rPr>
        <w:t>s</w:t>
      </w:r>
      <w:r w:rsidRPr="00944F24">
        <w:rPr>
          <w:lang w:val="en-GB"/>
        </w:rPr>
        <w:t xml:space="preserve"> after </w:t>
      </w:r>
      <w:r w:rsidR="00924713" w:rsidRPr="00944F24">
        <w:rPr>
          <w:lang w:val="en-GB"/>
        </w:rPr>
        <w:t xml:space="preserve">the </w:t>
      </w:r>
      <w:r w:rsidRPr="00944F24">
        <w:rPr>
          <w:lang w:val="en-GB"/>
        </w:rPr>
        <w:t>initial treatment. No lasting reaction</w:t>
      </w:r>
      <w:r w:rsidR="00924713" w:rsidRPr="00944F24">
        <w:rPr>
          <w:lang w:val="en-GB"/>
        </w:rPr>
        <w:t>s</w:t>
      </w:r>
      <w:r w:rsidRPr="00944F24">
        <w:rPr>
          <w:lang w:val="en-GB"/>
        </w:rPr>
        <w:t xml:space="preserve"> w</w:t>
      </w:r>
      <w:r w:rsidR="00924713" w:rsidRPr="00944F24">
        <w:rPr>
          <w:lang w:val="en-GB"/>
        </w:rPr>
        <w:t>ere</w:t>
      </w:r>
      <w:r w:rsidRPr="00944F24">
        <w:rPr>
          <w:lang w:val="en-GB"/>
        </w:rPr>
        <w:t xml:space="preserve"> </w:t>
      </w:r>
      <w:r w:rsidR="00997EE2">
        <w:rPr>
          <w:lang w:val="en-GB"/>
        </w:rPr>
        <w:t>reported</w:t>
      </w:r>
      <w:r w:rsidRPr="00944F24">
        <w:rPr>
          <w:lang w:val="en-GB"/>
        </w:rPr>
        <w:t xml:space="preserve">.  </w:t>
      </w:r>
    </w:p>
    <w:p w14:paraId="51935851" w14:textId="1903A595" w:rsidR="00227F82" w:rsidRPr="00944F24" w:rsidRDefault="006005EE" w:rsidP="004F742F">
      <w:pPr>
        <w:spacing w:after="0" w:line="480" w:lineRule="auto"/>
        <w:rPr>
          <w:lang w:val="en-GB"/>
        </w:rPr>
      </w:pPr>
      <w:r w:rsidRPr="00944F24">
        <w:rPr>
          <w:lang w:val="en-GB"/>
        </w:rPr>
        <w:t xml:space="preserve">From the clinical examinations of the 74 </w:t>
      </w:r>
      <w:r w:rsidR="00DC4267">
        <w:rPr>
          <w:lang w:val="en-GB"/>
        </w:rPr>
        <w:t>treated knees</w:t>
      </w:r>
      <w:r w:rsidRPr="00944F24">
        <w:rPr>
          <w:lang w:val="en-GB"/>
        </w:rPr>
        <w:t xml:space="preserve">, the investigator found no signs of reduced knee </w:t>
      </w:r>
      <w:r w:rsidR="00924713" w:rsidRPr="00944F24">
        <w:rPr>
          <w:lang w:val="en-GB"/>
        </w:rPr>
        <w:t>ROM</w:t>
      </w:r>
      <w:r w:rsidRPr="00944F24">
        <w:rPr>
          <w:lang w:val="en-GB"/>
        </w:rPr>
        <w:t xml:space="preserve"> other than what is expected in a population of knee OA patients. </w:t>
      </w:r>
    </w:p>
    <w:p w14:paraId="3070D185" w14:textId="3949ED43" w:rsidR="00657187" w:rsidRPr="00944F24" w:rsidRDefault="00657187" w:rsidP="004F742F">
      <w:pPr>
        <w:spacing w:after="0" w:line="480" w:lineRule="auto"/>
        <w:rPr>
          <w:lang w:val="en-GB"/>
        </w:rPr>
      </w:pPr>
      <w:r w:rsidRPr="00944F24">
        <w:rPr>
          <w:lang w:val="en-GB"/>
        </w:rPr>
        <w:t>No intra-articular infections or allergic reactions were reported in this retrospective study</w:t>
      </w:r>
      <w:r w:rsidR="00355214">
        <w:rPr>
          <w:lang w:val="en-GB"/>
        </w:rPr>
        <w:t>.</w:t>
      </w:r>
    </w:p>
    <w:p w14:paraId="7FD4B342" w14:textId="77777777" w:rsidR="00A921E2" w:rsidRDefault="00A921E2" w:rsidP="004F742F">
      <w:pPr>
        <w:spacing w:after="0" w:line="480" w:lineRule="auto"/>
        <w:rPr>
          <w:i/>
          <w:lang w:val="en-GB"/>
        </w:rPr>
      </w:pPr>
    </w:p>
    <w:p w14:paraId="77251DC8" w14:textId="77777777" w:rsidR="00657187" w:rsidRPr="00560E34" w:rsidRDefault="00657187" w:rsidP="004F742F">
      <w:pPr>
        <w:spacing w:after="0" w:line="480" w:lineRule="auto"/>
        <w:rPr>
          <w:b/>
          <w:i/>
          <w:lang w:val="en-GB"/>
        </w:rPr>
      </w:pPr>
      <w:r w:rsidRPr="00560E34">
        <w:rPr>
          <w:b/>
          <w:i/>
          <w:lang w:val="en-GB"/>
        </w:rPr>
        <w:t>Post PAAG treatment knee surgery</w:t>
      </w:r>
    </w:p>
    <w:p w14:paraId="6C6540A3" w14:textId="3BF41288" w:rsidR="006005EE" w:rsidRDefault="006005EE" w:rsidP="004F742F">
      <w:pPr>
        <w:spacing w:after="0" w:line="480" w:lineRule="auto"/>
        <w:rPr>
          <w:lang w:val="en-GB"/>
        </w:rPr>
      </w:pPr>
      <w:r w:rsidRPr="00944F24">
        <w:rPr>
          <w:lang w:val="en-GB"/>
        </w:rPr>
        <w:t xml:space="preserve">15 </w:t>
      </w:r>
      <w:r w:rsidR="00924713" w:rsidRPr="00944F24">
        <w:rPr>
          <w:lang w:val="en-GB"/>
        </w:rPr>
        <w:t xml:space="preserve">(16%) </w:t>
      </w:r>
      <w:r w:rsidRPr="00944F24">
        <w:rPr>
          <w:lang w:val="en-GB"/>
        </w:rPr>
        <w:t xml:space="preserve">of the 92 participants had, since initial treatment with PAAG, received arthroplasty surgery for knee OA of the treated knee. </w:t>
      </w:r>
      <w:r w:rsidR="006D5799" w:rsidRPr="00944F24">
        <w:rPr>
          <w:lang w:val="en-GB"/>
        </w:rPr>
        <w:t>Of the</w:t>
      </w:r>
      <w:r w:rsidR="00924713" w:rsidRPr="00944F24">
        <w:rPr>
          <w:lang w:val="en-GB"/>
        </w:rPr>
        <w:t>se</w:t>
      </w:r>
      <w:r w:rsidR="006D5799" w:rsidRPr="00944F24">
        <w:rPr>
          <w:lang w:val="en-GB"/>
        </w:rPr>
        <w:t>, it was possible to retrieve 14 surgical reports</w:t>
      </w:r>
      <w:r w:rsidR="00287AEC">
        <w:rPr>
          <w:lang w:val="en-GB"/>
        </w:rPr>
        <w:t xml:space="preserve">, the missing report was held </w:t>
      </w:r>
      <w:r w:rsidR="00AE4AE1">
        <w:rPr>
          <w:lang w:val="en-GB"/>
        </w:rPr>
        <w:t xml:space="preserve">by </w:t>
      </w:r>
      <w:r w:rsidR="00287AEC">
        <w:rPr>
          <w:lang w:val="en-GB"/>
        </w:rPr>
        <w:t>a priv</w:t>
      </w:r>
      <w:r w:rsidR="00AE4AE1">
        <w:rPr>
          <w:lang w:val="en-GB"/>
        </w:rPr>
        <w:t>ate</w:t>
      </w:r>
      <w:r w:rsidR="00287AEC">
        <w:rPr>
          <w:lang w:val="en-GB"/>
        </w:rPr>
        <w:t xml:space="preserve"> clinic and could not be obtained before data analysis had begun</w:t>
      </w:r>
      <w:r w:rsidR="006D5799" w:rsidRPr="00944F24">
        <w:rPr>
          <w:lang w:val="en-GB"/>
        </w:rPr>
        <w:t xml:space="preserve">. </w:t>
      </w:r>
      <w:r w:rsidRPr="00944F24">
        <w:rPr>
          <w:lang w:val="en-GB"/>
        </w:rPr>
        <w:t>From the pre-operative examinations</w:t>
      </w:r>
      <w:r w:rsidR="00863D32">
        <w:rPr>
          <w:lang w:val="en-GB"/>
        </w:rPr>
        <w:t>,</w:t>
      </w:r>
      <w:r w:rsidRPr="00944F24">
        <w:rPr>
          <w:lang w:val="en-GB"/>
        </w:rPr>
        <w:t xml:space="preserve"> all patients were described as having ROM</w:t>
      </w:r>
      <w:r w:rsidR="005420CB">
        <w:rPr>
          <w:lang w:val="en-GB"/>
        </w:rPr>
        <w:t xml:space="preserve"> as expected by the status of the</w:t>
      </w:r>
      <w:r w:rsidR="00AE4AE1">
        <w:rPr>
          <w:lang w:val="en-GB"/>
        </w:rPr>
        <w:t>ir</w:t>
      </w:r>
      <w:r w:rsidR="005420CB">
        <w:rPr>
          <w:lang w:val="en-GB"/>
        </w:rPr>
        <w:t xml:space="preserve"> knee OA</w:t>
      </w:r>
      <w:r w:rsidRPr="00944F24">
        <w:rPr>
          <w:lang w:val="en-GB"/>
        </w:rPr>
        <w:t xml:space="preserve">. </w:t>
      </w:r>
      <w:r w:rsidR="006D5799" w:rsidRPr="00944F24">
        <w:rPr>
          <w:lang w:val="en-GB"/>
        </w:rPr>
        <w:t>T</w:t>
      </w:r>
      <w:r w:rsidRPr="00944F24">
        <w:rPr>
          <w:lang w:val="en-GB"/>
        </w:rPr>
        <w:t xml:space="preserve">here were no unexpected descriptions of abnormalities that could be associated with </w:t>
      </w:r>
      <w:r w:rsidR="00924713" w:rsidRPr="00944F24">
        <w:rPr>
          <w:lang w:val="en-GB"/>
        </w:rPr>
        <w:t xml:space="preserve">the </w:t>
      </w:r>
      <w:r w:rsidRPr="00944F24">
        <w:rPr>
          <w:lang w:val="en-GB"/>
        </w:rPr>
        <w:t>prior treatment with PAAG</w:t>
      </w:r>
      <w:r w:rsidR="006D5799" w:rsidRPr="00944F24">
        <w:rPr>
          <w:lang w:val="en-GB"/>
        </w:rPr>
        <w:t xml:space="preserve"> in the surgical reports</w:t>
      </w:r>
      <w:r w:rsidR="005420CB">
        <w:rPr>
          <w:lang w:val="en-GB"/>
        </w:rPr>
        <w:t>.</w:t>
      </w:r>
      <w:r w:rsidR="00287AEC">
        <w:rPr>
          <w:lang w:val="en-GB"/>
        </w:rPr>
        <w:t xml:space="preserve"> </w:t>
      </w:r>
      <w:r w:rsidR="005420CB">
        <w:rPr>
          <w:lang w:val="en-GB"/>
        </w:rPr>
        <w:t>N</w:t>
      </w:r>
      <w:r w:rsidRPr="00944F24">
        <w:rPr>
          <w:lang w:val="en-GB"/>
        </w:rPr>
        <w:t xml:space="preserve">one of the reports mentioned the presence </w:t>
      </w:r>
      <w:r w:rsidR="00AE4AE1">
        <w:rPr>
          <w:lang w:val="en-GB"/>
        </w:rPr>
        <w:t xml:space="preserve">of </w:t>
      </w:r>
      <w:r w:rsidRPr="00944F24">
        <w:rPr>
          <w:lang w:val="en-GB"/>
        </w:rPr>
        <w:t>unidentified foreign bodies</w:t>
      </w:r>
      <w:r w:rsidR="00924713" w:rsidRPr="00944F24">
        <w:rPr>
          <w:lang w:val="en-GB"/>
        </w:rPr>
        <w:t>, discolorations,</w:t>
      </w:r>
      <w:r w:rsidRPr="00944F24">
        <w:rPr>
          <w:lang w:val="en-GB"/>
        </w:rPr>
        <w:t xml:space="preserve"> or </w:t>
      </w:r>
      <w:proofErr w:type="spellStart"/>
      <w:r w:rsidRPr="00944F24">
        <w:rPr>
          <w:lang w:val="en-GB"/>
        </w:rPr>
        <w:t>macroscopical</w:t>
      </w:r>
      <w:proofErr w:type="spellEnd"/>
      <w:r w:rsidRPr="00944F24">
        <w:rPr>
          <w:lang w:val="en-GB"/>
        </w:rPr>
        <w:t xml:space="preserve"> signs of fibrosis. Of the 15 </w:t>
      </w:r>
      <w:r w:rsidR="005420CB">
        <w:rPr>
          <w:lang w:val="en-GB"/>
        </w:rPr>
        <w:t xml:space="preserve">patients with </w:t>
      </w:r>
      <w:r w:rsidRPr="00944F24">
        <w:rPr>
          <w:lang w:val="en-GB"/>
        </w:rPr>
        <w:t>arthroplasties, 13 were examined at the osteoarthritis outpatient clinic by the investigator</w:t>
      </w:r>
      <w:r w:rsidR="00275835">
        <w:rPr>
          <w:lang w:val="en-GB"/>
        </w:rPr>
        <w:t>s</w:t>
      </w:r>
      <w:r w:rsidRPr="00944F24">
        <w:rPr>
          <w:lang w:val="en-GB"/>
        </w:rPr>
        <w:t>. Of these</w:t>
      </w:r>
      <w:r w:rsidR="00275835">
        <w:rPr>
          <w:lang w:val="en-GB"/>
        </w:rPr>
        <w:t xml:space="preserve"> patients</w:t>
      </w:r>
      <w:r w:rsidRPr="00944F24">
        <w:rPr>
          <w:lang w:val="en-GB"/>
        </w:rPr>
        <w:t>, none report</w:t>
      </w:r>
      <w:r w:rsidR="00275835">
        <w:rPr>
          <w:lang w:val="en-GB"/>
        </w:rPr>
        <w:t>ed</w:t>
      </w:r>
      <w:r w:rsidRPr="00944F24">
        <w:rPr>
          <w:lang w:val="en-GB"/>
        </w:rPr>
        <w:t xml:space="preserve"> dissatisfaction with the outcome of the surgery</w:t>
      </w:r>
      <w:r w:rsidR="00275835">
        <w:rPr>
          <w:lang w:val="en-GB"/>
        </w:rPr>
        <w:t xml:space="preserve"> and the arthroplasties were well functioning</w:t>
      </w:r>
      <w:r w:rsidRPr="00944F24">
        <w:rPr>
          <w:lang w:val="en-GB"/>
        </w:rPr>
        <w:t>. The average time from</w:t>
      </w:r>
      <w:r w:rsidR="00DC4267">
        <w:rPr>
          <w:lang w:val="en-GB"/>
        </w:rPr>
        <w:t xml:space="preserve"> first</w:t>
      </w:r>
      <w:r w:rsidRPr="00944F24">
        <w:rPr>
          <w:lang w:val="en-GB"/>
        </w:rPr>
        <w:t xml:space="preserve"> treatment with PAAG to surgery was 19 months (range 5 to 58 months).</w:t>
      </w:r>
    </w:p>
    <w:p w14:paraId="61FE6D75" w14:textId="77777777" w:rsidR="00287AEC" w:rsidRPr="00944F24" w:rsidRDefault="00287AEC" w:rsidP="004F742F">
      <w:pPr>
        <w:spacing w:after="0" w:line="480" w:lineRule="auto"/>
        <w:rPr>
          <w:lang w:val="en-GB"/>
        </w:rPr>
      </w:pPr>
    </w:p>
    <w:p w14:paraId="10877E24" w14:textId="0D13AA2F" w:rsidR="00E34CF3" w:rsidRPr="00944F24" w:rsidRDefault="00FF660A" w:rsidP="00560E34">
      <w:pPr>
        <w:pStyle w:val="Overskrift2"/>
        <w:rPr>
          <w:lang w:val="en-GB"/>
        </w:rPr>
      </w:pPr>
      <w:r w:rsidRPr="00944F24">
        <w:rPr>
          <w:lang w:val="en-GB"/>
        </w:rPr>
        <w:lastRenderedPageBreak/>
        <w:t xml:space="preserve">DISCUSSION </w:t>
      </w:r>
    </w:p>
    <w:p w14:paraId="1192E5EA" w14:textId="056A30AF" w:rsidR="00997EE2" w:rsidRDefault="0039003E" w:rsidP="004F742F">
      <w:pPr>
        <w:spacing w:after="0" w:line="480" w:lineRule="auto"/>
        <w:rPr>
          <w:lang w:val="en-GB"/>
        </w:rPr>
      </w:pPr>
      <w:r w:rsidRPr="00944F24">
        <w:rPr>
          <w:lang w:val="en-GB"/>
        </w:rPr>
        <w:t xml:space="preserve">This </w:t>
      </w:r>
      <w:r w:rsidR="00275835">
        <w:rPr>
          <w:lang w:val="en-GB"/>
        </w:rPr>
        <w:t xml:space="preserve">study presents real-life data of a long-term follow-up after </w:t>
      </w:r>
      <w:r w:rsidR="00C86A50">
        <w:rPr>
          <w:lang w:val="en-GB"/>
        </w:rPr>
        <w:t xml:space="preserve">IA </w:t>
      </w:r>
      <w:r w:rsidR="00275835">
        <w:rPr>
          <w:lang w:val="en-GB"/>
        </w:rPr>
        <w:t>administration of PAAG</w:t>
      </w:r>
      <w:r w:rsidR="00997EE2">
        <w:rPr>
          <w:lang w:val="en-GB"/>
        </w:rPr>
        <w:t xml:space="preserve"> be</w:t>
      </w:r>
      <w:r w:rsidR="00275835">
        <w:rPr>
          <w:lang w:val="en-GB"/>
        </w:rPr>
        <w:t>tw</w:t>
      </w:r>
      <w:r w:rsidR="00997EE2">
        <w:rPr>
          <w:lang w:val="en-GB"/>
        </w:rPr>
        <w:t>een 4 months and 7 years prior to safety assessment</w:t>
      </w:r>
      <w:r w:rsidR="00275835">
        <w:rPr>
          <w:lang w:val="en-GB"/>
        </w:rPr>
        <w:t>. F</w:t>
      </w:r>
      <w:r w:rsidRPr="00944F24">
        <w:rPr>
          <w:lang w:val="en-GB"/>
        </w:rPr>
        <w:t>ew</w:t>
      </w:r>
      <w:r w:rsidR="00924713" w:rsidRPr="00944F24">
        <w:rPr>
          <w:lang w:val="en-GB"/>
        </w:rPr>
        <w:t>,</w:t>
      </w:r>
      <w:r w:rsidRPr="00944F24">
        <w:rPr>
          <w:lang w:val="en-GB"/>
        </w:rPr>
        <w:t xml:space="preserve"> tolerable</w:t>
      </w:r>
      <w:r w:rsidR="00924713" w:rsidRPr="00944F24">
        <w:rPr>
          <w:lang w:val="en-GB"/>
        </w:rPr>
        <w:t>, and short-lived</w:t>
      </w:r>
      <w:r w:rsidRPr="00944F24">
        <w:rPr>
          <w:lang w:val="en-GB"/>
        </w:rPr>
        <w:t xml:space="preserve"> discomforts </w:t>
      </w:r>
      <w:r w:rsidR="00C86A50">
        <w:rPr>
          <w:lang w:val="en-GB"/>
        </w:rPr>
        <w:t>were</w:t>
      </w:r>
      <w:r w:rsidR="00275835">
        <w:rPr>
          <w:lang w:val="en-GB"/>
        </w:rPr>
        <w:t xml:space="preserve"> </w:t>
      </w:r>
      <w:r w:rsidR="00924713" w:rsidRPr="00944F24">
        <w:rPr>
          <w:lang w:val="en-GB"/>
        </w:rPr>
        <w:t xml:space="preserve">related </w:t>
      </w:r>
      <w:r w:rsidRPr="00944F24">
        <w:rPr>
          <w:lang w:val="en-GB"/>
        </w:rPr>
        <w:t xml:space="preserve">to </w:t>
      </w:r>
      <w:r w:rsidR="00997EE2">
        <w:rPr>
          <w:lang w:val="en-GB"/>
        </w:rPr>
        <w:t>the PAAG treatment</w:t>
      </w:r>
      <w:r w:rsidR="00323640" w:rsidRPr="00944F24">
        <w:rPr>
          <w:lang w:val="en-GB"/>
        </w:rPr>
        <w:t>.</w:t>
      </w:r>
      <w:r w:rsidR="00863D32">
        <w:rPr>
          <w:lang w:val="en-GB"/>
        </w:rPr>
        <w:t xml:space="preserve"> </w:t>
      </w:r>
    </w:p>
    <w:p w14:paraId="03336986" w14:textId="34D315A3" w:rsidR="00B85275" w:rsidRPr="00944F24" w:rsidRDefault="00A921E2" w:rsidP="004F742F">
      <w:pPr>
        <w:spacing w:after="0" w:line="480" w:lineRule="auto"/>
        <w:rPr>
          <w:lang w:val="en-GB"/>
        </w:rPr>
      </w:pPr>
      <w:r>
        <w:rPr>
          <w:lang w:val="en-GB"/>
        </w:rPr>
        <w:t>Importantly, we</w:t>
      </w:r>
      <w:r w:rsidR="00997EE2">
        <w:rPr>
          <w:lang w:val="en-GB"/>
        </w:rPr>
        <w:t xml:space="preserve"> found</w:t>
      </w:r>
      <w:r w:rsidR="00997EE2" w:rsidRPr="00944F24">
        <w:rPr>
          <w:lang w:val="en-GB"/>
        </w:rPr>
        <w:t xml:space="preserve"> </w:t>
      </w:r>
      <w:r w:rsidR="00997EE2">
        <w:rPr>
          <w:lang w:val="en-GB"/>
        </w:rPr>
        <w:t xml:space="preserve">no indications of </w:t>
      </w:r>
      <w:r w:rsidR="006D5799" w:rsidRPr="00944F24">
        <w:rPr>
          <w:lang w:val="en-GB"/>
        </w:rPr>
        <w:t>disadvantages</w:t>
      </w:r>
      <w:r w:rsidR="00B85275" w:rsidRPr="00944F24">
        <w:rPr>
          <w:lang w:val="en-GB"/>
        </w:rPr>
        <w:t xml:space="preserve"> or </w:t>
      </w:r>
      <w:r w:rsidR="006D5799" w:rsidRPr="00944F24">
        <w:rPr>
          <w:lang w:val="en-GB"/>
        </w:rPr>
        <w:t xml:space="preserve">side effects </w:t>
      </w:r>
      <w:r>
        <w:rPr>
          <w:lang w:val="en-GB"/>
        </w:rPr>
        <w:t xml:space="preserve">that are dissimilar to </w:t>
      </w:r>
      <w:r w:rsidR="00997EE2">
        <w:rPr>
          <w:lang w:val="en-GB"/>
        </w:rPr>
        <w:t xml:space="preserve">those known from other </w:t>
      </w:r>
      <w:r w:rsidR="00924713" w:rsidRPr="00944F24">
        <w:rPr>
          <w:lang w:val="en-GB"/>
        </w:rPr>
        <w:t xml:space="preserve">available </w:t>
      </w:r>
      <w:r>
        <w:rPr>
          <w:lang w:val="en-GB"/>
        </w:rPr>
        <w:t xml:space="preserve">intra-articular </w:t>
      </w:r>
      <w:r w:rsidR="00326262" w:rsidRPr="00944F24">
        <w:rPr>
          <w:lang w:val="en-GB"/>
        </w:rPr>
        <w:t xml:space="preserve">treatment modalities </w:t>
      </w:r>
      <w:r>
        <w:rPr>
          <w:lang w:val="en-GB"/>
        </w:rPr>
        <w:t xml:space="preserve">for knee OA </w:t>
      </w:r>
      <w:r w:rsidR="00326262" w:rsidRPr="00944F24">
        <w:rPr>
          <w:lang w:val="en-GB"/>
        </w:rPr>
        <w:t>on</w:t>
      </w:r>
      <w:r w:rsidR="006D5799" w:rsidRPr="00944F24">
        <w:rPr>
          <w:lang w:val="en-GB"/>
        </w:rPr>
        <w:t xml:space="preserve"> the market today. </w:t>
      </w:r>
      <w:r w:rsidR="00275835">
        <w:rPr>
          <w:lang w:val="en-GB"/>
        </w:rPr>
        <w:t>As with</w:t>
      </w:r>
      <w:r>
        <w:rPr>
          <w:lang w:val="en-GB"/>
        </w:rPr>
        <w:t xml:space="preserve"> </w:t>
      </w:r>
      <w:r w:rsidRPr="00944F24">
        <w:rPr>
          <w:lang w:val="en-GB"/>
        </w:rPr>
        <w:t>other IA treatments for OA (e.g. corticosteroid)</w:t>
      </w:r>
      <w:r w:rsidR="00275835">
        <w:rPr>
          <w:lang w:val="en-GB"/>
        </w:rPr>
        <w:t>,</w:t>
      </w:r>
      <w:r>
        <w:rPr>
          <w:lang w:val="en-GB"/>
        </w:rPr>
        <w:t xml:space="preserve"> </w:t>
      </w:r>
      <w:r w:rsidR="00924713" w:rsidRPr="00944F24">
        <w:rPr>
          <w:lang w:val="en-GB"/>
        </w:rPr>
        <w:t>some patients (</w:t>
      </w:r>
      <w:r w:rsidR="003F0C11" w:rsidRPr="00944F24">
        <w:rPr>
          <w:lang w:val="en-GB"/>
        </w:rPr>
        <w:t xml:space="preserve">27%) </w:t>
      </w:r>
      <w:r>
        <w:rPr>
          <w:lang w:val="en-GB"/>
        </w:rPr>
        <w:t>reported an</w:t>
      </w:r>
      <w:r w:rsidR="00CF624B" w:rsidRPr="00944F24">
        <w:rPr>
          <w:lang w:val="en-GB"/>
        </w:rPr>
        <w:t xml:space="preserve"> </w:t>
      </w:r>
      <w:r w:rsidR="00326262" w:rsidRPr="00944F24">
        <w:rPr>
          <w:lang w:val="en-GB"/>
        </w:rPr>
        <w:t xml:space="preserve">initial </w:t>
      </w:r>
      <w:r w:rsidR="00997EE2" w:rsidRPr="00944F24">
        <w:rPr>
          <w:lang w:val="en-GB"/>
        </w:rPr>
        <w:t>aggrava</w:t>
      </w:r>
      <w:r>
        <w:rPr>
          <w:lang w:val="en-GB"/>
        </w:rPr>
        <w:t>tion of</w:t>
      </w:r>
      <w:r w:rsidR="00997EE2">
        <w:rPr>
          <w:lang w:val="en-GB"/>
        </w:rPr>
        <w:t xml:space="preserve"> the</w:t>
      </w:r>
      <w:r w:rsidR="00997EE2" w:rsidRPr="00944F24">
        <w:rPr>
          <w:lang w:val="en-GB"/>
        </w:rPr>
        <w:t xml:space="preserve"> </w:t>
      </w:r>
      <w:r w:rsidR="003F0C11" w:rsidRPr="00944F24">
        <w:rPr>
          <w:lang w:val="en-GB"/>
        </w:rPr>
        <w:t xml:space="preserve">OA </w:t>
      </w:r>
      <w:r w:rsidR="00326262" w:rsidRPr="00944F24">
        <w:rPr>
          <w:lang w:val="en-GB"/>
        </w:rPr>
        <w:t>symptoms</w:t>
      </w:r>
      <w:r>
        <w:rPr>
          <w:lang w:val="en-GB"/>
        </w:rPr>
        <w:t>.</w:t>
      </w:r>
      <w:r w:rsidR="003F0C11" w:rsidRPr="00944F24">
        <w:rPr>
          <w:lang w:val="en-GB"/>
        </w:rPr>
        <w:t xml:space="preserve"> </w:t>
      </w:r>
      <w:r>
        <w:rPr>
          <w:lang w:val="en-GB"/>
        </w:rPr>
        <w:t>H</w:t>
      </w:r>
      <w:r w:rsidRPr="00944F24">
        <w:rPr>
          <w:lang w:val="en-GB"/>
        </w:rPr>
        <w:t>owever</w:t>
      </w:r>
      <w:r w:rsidR="003F0C11" w:rsidRPr="00944F24">
        <w:rPr>
          <w:lang w:val="en-GB"/>
        </w:rPr>
        <w:t>,</w:t>
      </w:r>
      <w:r w:rsidR="00326262" w:rsidRPr="00944F24">
        <w:rPr>
          <w:lang w:val="en-GB"/>
        </w:rPr>
        <w:t xml:space="preserve"> these </w:t>
      </w:r>
      <w:r w:rsidR="006A51FB">
        <w:rPr>
          <w:lang w:val="en-GB"/>
        </w:rPr>
        <w:t>were reported to</w:t>
      </w:r>
      <w:r w:rsidR="00326262" w:rsidRPr="00944F24">
        <w:rPr>
          <w:lang w:val="en-GB"/>
        </w:rPr>
        <w:t xml:space="preserve"> </w:t>
      </w:r>
      <w:r w:rsidR="00997EE2">
        <w:rPr>
          <w:lang w:val="en-GB"/>
        </w:rPr>
        <w:t xml:space="preserve">resolve </w:t>
      </w:r>
      <w:r w:rsidR="00326262" w:rsidRPr="00944F24">
        <w:rPr>
          <w:lang w:val="en-GB"/>
        </w:rPr>
        <w:t>quickly</w:t>
      </w:r>
      <w:r w:rsidR="006A51FB">
        <w:rPr>
          <w:lang w:val="en-GB"/>
        </w:rPr>
        <w:t>, similar to other injection therapies</w:t>
      </w:r>
      <w:r w:rsidR="00326262" w:rsidRPr="00944F24">
        <w:rPr>
          <w:lang w:val="en-GB"/>
        </w:rPr>
        <w:t>.</w:t>
      </w:r>
      <w:r w:rsidR="00B85275" w:rsidRPr="00944F24">
        <w:rPr>
          <w:lang w:val="en-GB"/>
        </w:rPr>
        <w:t xml:space="preserve"> </w:t>
      </w:r>
      <w:r w:rsidR="002600F5">
        <w:rPr>
          <w:lang w:val="en-GB"/>
        </w:rPr>
        <w:t xml:space="preserve">Furthermore, there were no reports of </w:t>
      </w:r>
      <w:r w:rsidR="00B85275" w:rsidRPr="00944F24">
        <w:rPr>
          <w:lang w:val="en-GB"/>
        </w:rPr>
        <w:t>allergic or system</w:t>
      </w:r>
      <w:r w:rsidR="003F0C11" w:rsidRPr="00944F24">
        <w:rPr>
          <w:lang w:val="en-GB"/>
        </w:rPr>
        <w:t>ic</w:t>
      </w:r>
      <w:r w:rsidR="00B85275" w:rsidRPr="00944F24">
        <w:rPr>
          <w:lang w:val="en-GB"/>
        </w:rPr>
        <w:t xml:space="preserve"> reactions to the </w:t>
      </w:r>
      <w:r w:rsidR="00275835">
        <w:rPr>
          <w:lang w:val="en-GB"/>
        </w:rPr>
        <w:t>PAAG</w:t>
      </w:r>
      <w:r w:rsidR="00B85275" w:rsidRPr="00944F24">
        <w:rPr>
          <w:lang w:val="en-GB"/>
        </w:rPr>
        <w:t xml:space="preserve">. </w:t>
      </w:r>
      <w:r w:rsidR="00CF624B" w:rsidRPr="00944F24">
        <w:rPr>
          <w:lang w:val="en-GB"/>
        </w:rPr>
        <w:t xml:space="preserve">These findings are in </w:t>
      </w:r>
      <w:r w:rsidR="00275835">
        <w:rPr>
          <w:lang w:val="en-GB"/>
        </w:rPr>
        <w:t xml:space="preserve">accordance </w:t>
      </w:r>
      <w:r w:rsidR="00CF624B" w:rsidRPr="00944F24">
        <w:rPr>
          <w:lang w:val="en-GB"/>
        </w:rPr>
        <w:t xml:space="preserve">with </w:t>
      </w:r>
      <w:r w:rsidR="00275835">
        <w:rPr>
          <w:lang w:val="en-GB"/>
        </w:rPr>
        <w:t xml:space="preserve">the experience of PAAG given to </w:t>
      </w:r>
      <w:r w:rsidR="00CF624B" w:rsidRPr="00944F24">
        <w:rPr>
          <w:lang w:val="en-GB"/>
        </w:rPr>
        <w:t>animal</w:t>
      </w:r>
      <w:r w:rsidR="00275835">
        <w:rPr>
          <w:lang w:val="en-GB"/>
        </w:rPr>
        <w:t>s</w:t>
      </w:r>
      <w:r w:rsidR="00CF624B" w:rsidRPr="00944F24">
        <w:rPr>
          <w:lang w:val="en-GB"/>
        </w:rPr>
        <w:t xml:space="preserve"> showing </w:t>
      </w:r>
      <w:r w:rsidR="002600F5">
        <w:rPr>
          <w:lang w:val="en-GB"/>
        </w:rPr>
        <w:t xml:space="preserve">few </w:t>
      </w:r>
      <w:r w:rsidR="00CF624B" w:rsidRPr="00944F24">
        <w:rPr>
          <w:lang w:val="en-GB"/>
        </w:rPr>
        <w:t xml:space="preserve">adverse events and </w:t>
      </w:r>
      <w:r w:rsidR="00275835">
        <w:rPr>
          <w:lang w:val="en-GB"/>
        </w:rPr>
        <w:t xml:space="preserve">also with human </w:t>
      </w:r>
      <w:r w:rsidR="006A51FB">
        <w:rPr>
          <w:lang w:val="en-GB"/>
        </w:rPr>
        <w:t xml:space="preserve">use </w:t>
      </w:r>
      <w:r>
        <w:rPr>
          <w:lang w:val="en-GB"/>
        </w:rPr>
        <w:t xml:space="preserve">of PAAG </w:t>
      </w:r>
      <w:r w:rsidR="00275835">
        <w:rPr>
          <w:lang w:val="en-GB"/>
        </w:rPr>
        <w:t xml:space="preserve">for </w:t>
      </w:r>
      <w:r>
        <w:rPr>
          <w:lang w:val="en-GB"/>
        </w:rPr>
        <w:t xml:space="preserve">soft tissue augmentation </w:t>
      </w:r>
      <w:r w:rsidR="003F0C11" w:rsidRPr="00944F24">
        <w:rPr>
          <w:lang w:val="en-GB"/>
        </w:rPr>
        <w:t>[</w:t>
      </w:r>
      <w:r w:rsidR="00C72B18">
        <w:rPr>
          <w:lang w:val="en-GB"/>
        </w:rPr>
        <w:t>9.10.12.13</w:t>
      </w:r>
      <w:r w:rsidR="003F0C11" w:rsidRPr="00944F24">
        <w:rPr>
          <w:lang w:val="en-GB"/>
        </w:rPr>
        <w:t>]</w:t>
      </w:r>
      <w:r w:rsidR="00CF624B" w:rsidRPr="00944F24">
        <w:rPr>
          <w:lang w:val="en-GB"/>
        </w:rPr>
        <w:t xml:space="preserve">.   </w:t>
      </w:r>
    </w:p>
    <w:p w14:paraId="2FAC255B" w14:textId="783B6278" w:rsidR="00FA5410" w:rsidRPr="00944F24" w:rsidRDefault="00240126" w:rsidP="004F742F">
      <w:pPr>
        <w:spacing w:after="0" w:line="480" w:lineRule="auto"/>
        <w:rPr>
          <w:lang w:val="en-GB"/>
        </w:rPr>
      </w:pPr>
      <w:r w:rsidRPr="00944F24">
        <w:rPr>
          <w:lang w:val="en-GB"/>
        </w:rPr>
        <w:t xml:space="preserve">The </w:t>
      </w:r>
      <w:r w:rsidR="003F0C11" w:rsidRPr="00944F24">
        <w:rPr>
          <w:lang w:val="en-GB"/>
        </w:rPr>
        <w:t>absence</w:t>
      </w:r>
      <w:r w:rsidRPr="00944F24">
        <w:rPr>
          <w:lang w:val="en-GB"/>
        </w:rPr>
        <w:t xml:space="preserve"> </w:t>
      </w:r>
      <w:r w:rsidR="003F0C11" w:rsidRPr="00944F24">
        <w:rPr>
          <w:lang w:val="en-GB"/>
        </w:rPr>
        <w:t xml:space="preserve">of </w:t>
      </w:r>
      <w:proofErr w:type="spellStart"/>
      <w:r w:rsidRPr="00944F24">
        <w:rPr>
          <w:lang w:val="en-GB"/>
        </w:rPr>
        <w:t>macroscopical</w:t>
      </w:r>
      <w:proofErr w:type="spellEnd"/>
      <w:r w:rsidR="00557670" w:rsidRPr="00944F24">
        <w:rPr>
          <w:lang w:val="en-GB"/>
        </w:rPr>
        <w:t xml:space="preserve"> anomalies </w:t>
      </w:r>
      <w:r w:rsidR="003F0C11" w:rsidRPr="00944F24">
        <w:rPr>
          <w:lang w:val="en-GB"/>
        </w:rPr>
        <w:t xml:space="preserve">in the </w:t>
      </w:r>
      <w:r w:rsidRPr="00944F24">
        <w:rPr>
          <w:lang w:val="en-GB"/>
        </w:rPr>
        <w:t>surg</w:t>
      </w:r>
      <w:r w:rsidR="003F0C11" w:rsidRPr="00944F24">
        <w:rPr>
          <w:lang w:val="en-GB"/>
        </w:rPr>
        <w:t>ery reports</w:t>
      </w:r>
      <w:r w:rsidRPr="00944F24">
        <w:rPr>
          <w:lang w:val="en-GB"/>
        </w:rPr>
        <w:t xml:space="preserve"> </w:t>
      </w:r>
      <w:r w:rsidR="001F7070">
        <w:rPr>
          <w:lang w:val="en-GB"/>
        </w:rPr>
        <w:t>is</w:t>
      </w:r>
      <w:r w:rsidRPr="00944F24">
        <w:rPr>
          <w:lang w:val="en-GB"/>
        </w:rPr>
        <w:t xml:space="preserve"> in line with the </w:t>
      </w:r>
      <w:r w:rsidR="003F0C11" w:rsidRPr="00944F24">
        <w:rPr>
          <w:lang w:val="en-GB"/>
        </w:rPr>
        <w:t xml:space="preserve">previous </w:t>
      </w:r>
      <w:r w:rsidR="006A51FB">
        <w:rPr>
          <w:lang w:val="en-GB"/>
        </w:rPr>
        <w:t>histological</w:t>
      </w:r>
      <w:r w:rsidR="006A51FB" w:rsidRPr="00944F24">
        <w:rPr>
          <w:lang w:val="en-GB"/>
        </w:rPr>
        <w:t xml:space="preserve"> </w:t>
      </w:r>
      <w:r w:rsidRPr="00944F24">
        <w:rPr>
          <w:lang w:val="en-GB"/>
        </w:rPr>
        <w:t xml:space="preserve">reports </w:t>
      </w:r>
      <w:r w:rsidR="006A51FB">
        <w:rPr>
          <w:lang w:val="en-GB"/>
        </w:rPr>
        <w:t>of</w:t>
      </w:r>
      <w:r w:rsidRPr="00944F24">
        <w:rPr>
          <w:lang w:val="en-GB"/>
        </w:rPr>
        <w:t xml:space="preserve"> </w:t>
      </w:r>
      <w:r w:rsidR="006A51FB">
        <w:rPr>
          <w:lang w:val="en-GB"/>
        </w:rPr>
        <w:t xml:space="preserve">animal </w:t>
      </w:r>
      <w:r w:rsidRPr="00944F24">
        <w:rPr>
          <w:lang w:val="en-GB"/>
        </w:rPr>
        <w:t>knees treated with PAAG</w:t>
      </w:r>
      <w:r w:rsidR="00557670" w:rsidRPr="00944F24">
        <w:rPr>
          <w:lang w:val="en-GB"/>
        </w:rPr>
        <w:t xml:space="preserve"> </w:t>
      </w:r>
      <w:r w:rsidR="003F0C11" w:rsidRPr="00944F24">
        <w:rPr>
          <w:lang w:val="en-GB"/>
        </w:rPr>
        <w:t>[</w:t>
      </w:r>
      <w:r w:rsidR="00C72B18">
        <w:rPr>
          <w:lang w:val="en-GB"/>
        </w:rPr>
        <w:t>12</w:t>
      </w:r>
      <w:r w:rsidR="003F0C11" w:rsidRPr="00944F24">
        <w:rPr>
          <w:lang w:val="en-GB"/>
        </w:rPr>
        <w:t xml:space="preserve">], </w:t>
      </w:r>
      <w:r w:rsidR="00AB0E4B" w:rsidRPr="00944F24">
        <w:rPr>
          <w:lang w:val="en-GB"/>
        </w:rPr>
        <w:t>which</w:t>
      </w:r>
      <w:r w:rsidR="00557670" w:rsidRPr="00944F24">
        <w:rPr>
          <w:lang w:val="en-GB"/>
        </w:rPr>
        <w:t xml:space="preserve"> show</w:t>
      </w:r>
      <w:r w:rsidR="003F0C11" w:rsidRPr="00944F24">
        <w:rPr>
          <w:lang w:val="en-GB"/>
        </w:rPr>
        <w:t>ed</w:t>
      </w:r>
      <w:r w:rsidR="00557670" w:rsidRPr="00944F24">
        <w:rPr>
          <w:lang w:val="en-GB"/>
        </w:rPr>
        <w:t xml:space="preserve"> an integration or sub-lining of the PAAG of the synovium</w:t>
      </w:r>
      <w:r w:rsidR="003F0C11" w:rsidRPr="00944F24">
        <w:rPr>
          <w:lang w:val="en-GB"/>
        </w:rPr>
        <w:t>, with t</w:t>
      </w:r>
      <w:r w:rsidR="00557670" w:rsidRPr="00944F24">
        <w:rPr>
          <w:lang w:val="en-GB"/>
        </w:rPr>
        <w:t xml:space="preserve">he </w:t>
      </w:r>
      <w:r w:rsidR="00AB0E4B" w:rsidRPr="00944F24">
        <w:rPr>
          <w:lang w:val="en-GB"/>
        </w:rPr>
        <w:t>sub-synovial</w:t>
      </w:r>
      <w:r w:rsidR="00557670" w:rsidRPr="00944F24">
        <w:rPr>
          <w:lang w:val="en-GB"/>
        </w:rPr>
        <w:t xml:space="preserve"> zone retain</w:t>
      </w:r>
      <w:r w:rsidR="003F0C11" w:rsidRPr="00944F24">
        <w:rPr>
          <w:lang w:val="en-GB"/>
        </w:rPr>
        <w:t>ing</w:t>
      </w:r>
      <w:r w:rsidR="00557670" w:rsidRPr="00944F24">
        <w:rPr>
          <w:lang w:val="en-GB"/>
        </w:rPr>
        <w:t xml:space="preserve"> its thickness.</w:t>
      </w:r>
      <w:r w:rsidR="006A51FB">
        <w:rPr>
          <w:lang w:val="en-GB"/>
        </w:rPr>
        <w:t xml:space="preserve"> </w:t>
      </w:r>
    </w:p>
    <w:p w14:paraId="7A21E0B5" w14:textId="26299D29" w:rsidR="00FA5410" w:rsidRDefault="00FA5410" w:rsidP="004F742F">
      <w:pPr>
        <w:spacing w:after="0" w:line="480" w:lineRule="auto"/>
        <w:rPr>
          <w:lang w:val="en-GB"/>
        </w:rPr>
      </w:pPr>
      <w:r w:rsidRPr="00944F24">
        <w:rPr>
          <w:lang w:val="en-GB"/>
        </w:rPr>
        <w:t xml:space="preserve">Related to the treatment, 15 patients described </w:t>
      </w:r>
      <w:r w:rsidR="00275835">
        <w:rPr>
          <w:lang w:val="en-GB"/>
        </w:rPr>
        <w:t xml:space="preserve">post-injection </w:t>
      </w:r>
      <w:r w:rsidRPr="00944F24">
        <w:rPr>
          <w:lang w:val="en-GB"/>
        </w:rPr>
        <w:t xml:space="preserve">sensations of distention </w:t>
      </w:r>
      <w:r w:rsidR="00275835">
        <w:rPr>
          <w:lang w:val="en-GB"/>
        </w:rPr>
        <w:t>of the knee</w:t>
      </w:r>
      <w:r w:rsidRPr="00944F24">
        <w:rPr>
          <w:lang w:val="en-GB"/>
        </w:rPr>
        <w:t xml:space="preserve">. This </w:t>
      </w:r>
      <w:r w:rsidR="00275835">
        <w:rPr>
          <w:lang w:val="en-GB"/>
        </w:rPr>
        <w:t xml:space="preserve">may </w:t>
      </w:r>
      <w:r w:rsidRPr="00944F24">
        <w:rPr>
          <w:lang w:val="en-GB"/>
        </w:rPr>
        <w:t xml:space="preserve">be speculated to be due to an elevated intra-articular pressure and distention of the joint capsule, or a synovial reaction. However, based on this retrospective </w:t>
      </w:r>
      <w:r w:rsidR="002600F5">
        <w:rPr>
          <w:lang w:val="en-GB"/>
        </w:rPr>
        <w:t>case series</w:t>
      </w:r>
      <w:r w:rsidR="002600F5" w:rsidRPr="00944F24">
        <w:rPr>
          <w:lang w:val="en-GB"/>
        </w:rPr>
        <w:t xml:space="preserve"> </w:t>
      </w:r>
      <w:r w:rsidRPr="00944F24">
        <w:rPr>
          <w:lang w:val="en-GB"/>
        </w:rPr>
        <w:t xml:space="preserve">the cause of this sensation is not clear. </w:t>
      </w:r>
      <w:r w:rsidR="006A51FB">
        <w:rPr>
          <w:lang w:val="en-GB"/>
        </w:rPr>
        <w:t>Nevertheless, m</w:t>
      </w:r>
      <w:r w:rsidR="002600F5">
        <w:rPr>
          <w:lang w:val="en-GB"/>
        </w:rPr>
        <w:t>ost</w:t>
      </w:r>
      <w:r w:rsidR="002600F5" w:rsidRPr="00944F24">
        <w:rPr>
          <w:lang w:val="en-GB"/>
        </w:rPr>
        <w:t xml:space="preserve"> </w:t>
      </w:r>
      <w:r w:rsidRPr="00944F24">
        <w:rPr>
          <w:lang w:val="en-GB"/>
        </w:rPr>
        <w:t>patients (93%) described th</w:t>
      </w:r>
      <w:r w:rsidR="006A51FB">
        <w:rPr>
          <w:lang w:val="en-GB"/>
        </w:rPr>
        <w:t>e sensation</w:t>
      </w:r>
      <w:r w:rsidRPr="00944F24">
        <w:rPr>
          <w:lang w:val="en-GB"/>
        </w:rPr>
        <w:t xml:space="preserve"> as transient</w:t>
      </w:r>
      <w:r w:rsidRPr="00944F24" w:rsidDel="00924713">
        <w:rPr>
          <w:lang w:val="en-GB"/>
        </w:rPr>
        <w:t xml:space="preserve"> </w:t>
      </w:r>
      <w:r w:rsidRPr="00944F24">
        <w:rPr>
          <w:lang w:val="en-GB"/>
        </w:rPr>
        <w:t xml:space="preserve">and </w:t>
      </w:r>
      <w:r w:rsidR="00C86A50">
        <w:rPr>
          <w:lang w:val="en-GB"/>
        </w:rPr>
        <w:t>resolving</w:t>
      </w:r>
      <w:r w:rsidRPr="00944F24" w:rsidDel="00924713">
        <w:rPr>
          <w:lang w:val="en-GB"/>
        </w:rPr>
        <w:t xml:space="preserve"> </w:t>
      </w:r>
      <w:r w:rsidRPr="00944F24">
        <w:rPr>
          <w:lang w:val="en-GB"/>
        </w:rPr>
        <w:t xml:space="preserve">over days to weeks. </w:t>
      </w:r>
      <w:r w:rsidR="002600F5">
        <w:rPr>
          <w:lang w:val="en-GB"/>
        </w:rPr>
        <w:t xml:space="preserve">Intra-articular </w:t>
      </w:r>
      <w:r w:rsidR="00F55CC5" w:rsidRPr="00944F24">
        <w:rPr>
          <w:lang w:val="en-GB"/>
        </w:rPr>
        <w:t>injection therap</w:t>
      </w:r>
      <w:r w:rsidR="006A51FB">
        <w:rPr>
          <w:lang w:val="en-GB"/>
        </w:rPr>
        <w:t>ies</w:t>
      </w:r>
      <w:r w:rsidR="00F55CC5" w:rsidRPr="00944F24">
        <w:rPr>
          <w:lang w:val="en-GB"/>
        </w:rPr>
        <w:t xml:space="preserve"> </w:t>
      </w:r>
      <w:r w:rsidR="006A51FB">
        <w:rPr>
          <w:lang w:val="en-GB"/>
        </w:rPr>
        <w:t>are</w:t>
      </w:r>
      <w:r w:rsidR="006A51FB" w:rsidRPr="00944F24">
        <w:rPr>
          <w:lang w:val="en-GB"/>
        </w:rPr>
        <w:t xml:space="preserve"> </w:t>
      </w:r>
      <w:r w:rsidR="002600F5">
        <w:rPr>
          <w:lang w:val="en-GB"/>
        </w:rPr>
        <w:t xml:space="preserve">normally associated with </w:t>
      </w:r>
      <w:r w:rsidR="00F55CC5" w:rsidRPr="00944F24">
        <w:rPr>
          <w:lang w:val="en-GB"/>
        </w:rPr>
        <w:t xml:space="preserve">mild injection pain of short duration and </w:t>
      </w:r>
      <w:r w:rsidR="00DC4267">
        <w:rPr>
          <w:lang w:val="en-GB"/>
        </w:rPr>
        <w:t xml:space="preserve">short lived </w:t>
      </w:r>
      <w:r w:rsidR="00F55CC5" w:rsidRPr="00944F24">
        <w:rPr>
          <w:lang w:val="en-GB"/>
        </w:rPr>
        <w:t xml:space="preserve">effusion </w:t>
      </w:r>
      <w:r w:rsidR="002600F5">
        <w:rPr>
          <w:lang w:val="en-GB"/>
        </w:rPr>
        <w:t>is</w:t>
      </w:r>
      <w:r w:rsidR="002600F5" w:rsidRPr="00944F24">
        <w:rPr>
          <w:lang w:val="en-GB"/>
        </w:rPr>
        <w:t xml:space="preserve"> </w:t>
      </w:r>
      <w:r w:rsidR="00F55CC5" w:rsidRPr="00944F24">
        <w:rPr>
          <w:lang w:val="en-GB"/>
        </w:rPr>
        <w:t>common</w:t>
      </w:r>
      <w:r w:rsidR="00605BF3">
        <w:rPr>
          <w:lang w:val="en-GB"/>
        </w:rPr>
        <w:t xml:space="preserve"> [14</w:t>
      </w:r>
      <w:r w:rsidR="00881E77">
        <w:rPr>
          <w:lang w:val="en-GB"/>
        </w:rPr>
        <w:t>.15</w:t>
      </w:r>
      <w:r w:rsidR="00605BF3">
        <w:rPr>
          <w:lang w:val="en-GB"/>
        </w:rPr>
        <w:t>]</w:t>
      </w:r>
      <w:r w:rsidR="00263A8D">
        <w:rPr>
          <w:lang w:val="en-GB"/>
        </w:rPr>
        <w:t>.</w:t>
      </w:r>
    </w:p>
    <w:p w14:paraId="30AA051E" w14:textId="77777777" w:rsidR="00287AEC" w:rsidRDefault="00287AEC" w:rsidP="004F742F">
      <w:pPr>
        <w:spacing w:after="0" w:line="480" w:lineRule="auto"/>
        <w:rPr>
          <w:lang w:val="en-GB"/>
        </w:rPr>
      </w:pPr>
    </w:p>
    <w:p w14:paraId="7BACF99E" w14:textId="35F10FA5" w:rsidR="00275835" w:rsidRPr="00560E34" w:rsidRDefault="00275835" w:rsidP="004F742F">
      <w:pPr>
        <w:spacing w:after="0" w:line="480" w:lineRule="auto"/>
        <w:rPr>
          <w:b/>
          <w:lang w:val="en-GB"/>
        </w:rPr>
      </w:pPr>
      <w:r w:rsidRPr="00560E34">
        <w:rPr>
          <w:b/>
          <w:lang w:val="en-GB"/>
        </w:rPr>
        <w:t>Limitations and strengths</w:t>
      </w:r>
    </w:p>
    <w:p w14:paraId="0BFF5756" w14:textId="257EED5C" w:rsidR="00191305" w:rsidRDefault="003F0C11" w:rsidP="004F742F">
      <w:pPr>
        <w:spacing w:after="0" w:line="480" w:lineRule="auto"/>
        <w:rPr>
          <w:lang w:val="en-GB"/>
        </w:rPr>
      </w:pPr>
      <w:r w:rsidRPr="00944F24">
        <w:rPr>
          <w:lang w:val="en-GB"/>
        </w:rPr>
        <w:t>This safety assessment has</w:t>
      </w:r>
      <w:r w:rsidR="004D0CBA" w:rsidRPr="00944F24">
        <w:rPr>
          <w:lang w:val="en-GB"/>
        </w:rPr>
        <w:t xml:space="preserve"> several inherent weaknesses</w:t>
      </w:r>
      <w:r w:rsidR="002600F5">
        <w:rPr>
          <w:lang w:val="en-GB"/>
        </w:rPr>
        <w:t xml:space="preserve"> - especially the </w:t>
      </w:r>
      <w:r w:rsidR="00275835">
        <w:rPr>
          <w:lang w:val="en-GB"/>
        </w:rPr>
        <w:t xml:space="preserve">recall bias due to the </w:t>
      </w:r>
      <w:r w:rsidR="002600F5">
        <w:rPr>
          <w:lang w:val="en-GB"/>
        </w:rPr>
        <w:t>retrospective nature of the adverse event reporting</w:t>
      </w:r>
      <w:r w:rsidR="006A51FB">
        <w:rPr>
          <w:lang w:val="en-GB"/>
        </w:rPr>
        <w:t xml:space="preserve"> is a limitation</w:t>
      </w:r>
      <w:r w:rsidR="002600F5">
        <w:rPr>
          <w:lang w:val="en-GB"/>
        </w:rPr>
        <w:t xml:space="preserve">. </w:t>
      </w:r>
      <w:r w:rsidR="006A51FB" w:rsidRPr="00944F24">
        <w:rPr>
          <w:lang w:val="en-GB"/>
        </w:rPr>
        <w:t xml:space="preserve">Some patients described problems in recollecting events in relation to treatment or even the treatment. </w:t>
      </w:r>
      <w:r w:rsidR="006A51FB">
        <w:rPr>
          <w:lang w:val="en-GB"/>
        </w:rPr>
        <w:t xml:space="preserve">However, we are confident that patients would </w:t>
      </w:r>
      <w:r w:rsidR="006A51FB">
        <w:rPr>
          <w:lang w:val="en-GB"/>
        </w:rPr>
        <w:lastRenderedPageBreak/>
        <w:t xml:space="preserve">recall if an adverse event had </w:t>
      </w:r>
      <w:r w:rsidR="00C86A50">
        <w:rPr>
          <w:lang w:val="en-GB"/>
        </w:rPr>
        <w:t xml:space="preserve">a </w:t>
      </w:r>
      <w:r w:rsidR="006A51FB">
        <w:rPr>
          <w:lang w:val="en-GB"/>
        </w:rPr>
        <w:t>significant impact on their lives even several years back. The relatively few reported significant adverse events are supported by the generally positive patient satisfaction that further supports the beneficial safety profile of IA PAAG treatment.</w:t>
      </w:r>
      <w:r w:rsidR="00191305" w:rsidRPr="00944F24">
        <w:rPr>
          <w:lang w:val="en-GB"/>
        </w:rPr>
        <w:t xml:space="preserve"> </w:t>
      </w:r>
    </w:p>
    <w:p w14:paraId="0E03C374" w14:textId="5FB9D1F8" w:rsidR="00275835" w:rsidRPr="00944F24" w:rsidRDefault="00275835" w:rsidP="004F742F">
      <w:pPr>
        <w:spacing w:after="0" w:line="480" w:lineRule="auto"/>
        <w:rPr>
          <w:lang w:val="en-GB"/>
        </w:rPr>
      </w:pPr>
      <w:r>
        <w:rPr>
          <w:lang w:val="en-GB"/>
        </w:rPr>
        <w:t xml:space="preserve">The strength of the study is the rather large and comprehensive material, which allowed us to </w:t>
      </w:r>
      <w:r w:rsidR="00E6699D">
        <w:rPr>
          <w:lang w:val="en-GB"/>
        </w:rPr>
        <w:t xml:space="preserve">give a qualified estimate of the possible adverse events based on real-life data. The Danish Hospital system has a </w:t>
      </w:r>
      <w:r w:rsidR="00287AEC">
        <w:rPr>
          <w:lang w:val="en-GB"/>
        </w:rPr>
        <w:t>well-functioning</w:t>
      </w:r>
      <w:r w:rsidR="00E6699D">
        <w:rPr>
          <w:lang w:val="en-GB"/>
        </w:rPr>
        <w:t xml:space="preserve"> filing system and all hospital admissions are registered. Also, the patients’ GPs were compliant with supplying us with data from their files of events in the aftermath of PAAG treatment. Thus, it may be claimed that all serious </w:t>
      </w:r>
      <w:r w:rsidR="00C86A50">
        <w:rPr>
          <w:lang w:val="en-GB"/>
        </w:rPr>
        <w:t xml:space="preserve">adverse events </w:t>
      </w:r>
      <w:r w:rsidR="00E6699D">
        <w:rPr>
          <w:lang w:val="en-GB"/>
        </w:rPr>
        <w:t>have been re</w:t>
      </w:r>
      <w:r w:rsidR="00C86A50">
        <w:rPr>
          <w:lang w:val="en-GB"/>
        </w:rPr>
        <w:t>ported</w:t>
      </w:r>
      <w:r w:rsidR="00E6699D">
        <w:rPr>
          <w:lang w:val="en-GB"/>
        </w:rPr>
        <w:t xml:space="preserve"> as well as most </w:t>
      </w:r>
      <w:r w:rsidR="007D1706">
        <w:rPr>
          <w:lang w:val="en-GB"/>
        </w:rPr>
        <w:t xml:space="preserve">other </w:t>
      </w:r>
      <w:r w:rsidR="00E6699D">
        <w:rPr>
          <w:lang w:val="en-GB"/>
        </w:rPr>
        <w:t xml:space="preserve">events requiring a doctor’s intervention. </w:t>
      </w:r>
    </w:p>
    <w:p w14:paraId="0863972C" w14:textId="5DB2D25B" w:rsidR="00527FF0" w:rsidRPr="00944F24" w:rsidRDefault="004D0CBA" w:rsidP="004F742F">
      <w:pPr>
        <w:spacing w:after="0" w:line="480" w:lineRule="auto"/>
        <w:rPr>
          <w:lang w:val="en-GB"/>
        </w:rPr>
      </w:pPr>
      <w:r w:rsidRPr="00944F24">
        <w:rPr>
          <w:lang w:val="en-GB"/>
        </w:rPr>
        <w:t xml:space="preserve">Based on </w:t>
      </w:r>
      <w:r w:rsidR="00E6699D">
        <w:rPr>
          <w:lang w:val="en-GB"/>
        </w:rPr>
        <w:t xml:space="preserve">the present </w:t>
      </w:r>
      <w:r w:rsidRPr="00944F24">
        <w:rPr>
          <w:lang w:val="en-GB"/>
        </w:rPr>
        <w:t>study</w:t>
      </w:r>
      <w:r w:rsidR="00E6699D">
        <w:rPr>
          <w:lang w:val="en-GB"/>
        </w:rPr>
        <w:t>,</w:t>
      </w:r>
      <w:r w:rsidRPr="00944F24">
        <w:rPr>
          <w:lang w:val="en-GB"/>
        </w:rPr>
        <w:t xml:space="preserve"> we suggest that knee OA treated with the application of </w:t>
      </w:r>
      <w:r w:rsidR="00191305" w:rsidRPr="00944F24">
        <w:rPr>
          <w:lang w:val="en-GB"/>
        </w:rPr>
        <w:t>PAAG</w:t>
      </w:r>
      <w:r w:rsidRPr="00944F24">
        <w:rPr>
          <w:lang w:val="en-GB"/>
        </w:rPr>
        <w:t xml:space="preserve"> </w:t>
      </w:r>
      <w:r w:rsidR="00E6699D">
        <w:rPr>
          <w:lang w:val="en-GB"/>
        </w:rPr>
        <w:t>is safe and may represent a relevant option for further investigation</w:t>
      </w:r>
      <w:r w:rsidRPr="00944F24">
        <w:rPr>
          <w:lang w:val="en-GB"/>
        </w:rPr>
        <w:t>. Although</w:t>
      </w:r>
      <w:r w:rsidR="00E6699D">
        <w:rPr>
          <w:lang w:val="en-GB"/>
        </w:rPr>
        <w:t>,</w:t>
      </w:r>
      <w:r w:rsidRPr="00944F24">
        <w:rPr>
          <w:lang w:val="en-GB"/>
        </w:rPr>
        <w:t xml:space="preserve"> the</w:t>
      </w:r>
      <w:r w:rsidR="00A921E2">
        <w:rPr>
          <w:lang w:val="en-GB"/>
        </w:rPr>
        <w:t xml:space="preserve"> current</w:t>
      </w:r>
      <w:r w:rsidRPr="00944F24">
        <w:rPr>
          <w:lang w:val="en-GB"/>
        </w:rPr>
        <w:t xml:space="preserve"> results need confirmation in </w:t>
      </w:r>
      <w:r w:rsidR="002600F5">
        <w:rPr>
          <w:lang w:val="en-GB"/>
        </w:rPr>
        <w:t>prospective studies</w:t>
      </w:r>
      <w:r w:rsidR="006A51FB">
        <w:rPr>
          <w:lang w:val="en-GB"/>
        </w:rPr>
        <w:t xml:space="preserve"> of both efficacy and safety</w:t>
      </w:r>
      <w:r w:rsidRPr="00944F24">
        <w:rPr>
          <w:lang w:val="en-GB"/>
        </w:rPr>
        <w:t xml:space="preserve">, they provide useful information about the safety of this new </w:t>
      </w:r>
      <w:r w:rsidR="00191305" w:rsidRPr="00944F24">
        <w:rPr>
          <w:lang w:val="en-GB"/>
        </w:rPr>
        <w:t xml:space="preserve">product </w:t>
      </w:r>
      <w:r w:rsidRPr="00944F24">
        <w:rPr>
          <w:lang w:val="en-GB"/>
        </w:rPr>
        <w:t xml:space="preserve">and open new perspectives in the area of </w:t>
      </w:r>
      <w:r w:rsidR="00A921E2">
        <w:rPr>
          <w:lang w:val="en-GB"/>
        </w:rPr>
        <w:t>non-surgical OA management</w:t>
      </w:r>
      <w:r w:rsidRPr="00944F24">
        <w:rPr>
          <w:lang w:val="en-GB"/>
        </w:rPr>
        <w:t>.</w:t>
      </w:r>
      <w:r w:rsidR="003F0C11" w:rsidRPr="00944F24">
        <w:rPr>
          <w:lang w:val="en-GB"/>
        </w:rPr>
        <w:t xml:space="preserve"> </w:t>
      </w:r>
    </w:p>
    <w:p w14:paraId="01F26AAE" w14:textId="77777777" w:rsidR="00A921E2" w:rsidRDefault="00A921E2" w:rsidP="004F742F">
      <w:pPr>
        <w:spacing w:after="0" w:line="480" w:lineRule="auto"/>
        <w:rPr>
          <w:i/>
          <w:lang w:val="en-GB"/>
        </w:rPr>
      </w:pPr>
    </w:p>
    <w:p w14:paraId="2730A24A" w14:textId="69CEF450" w:rsidR="00E34CF3" w:rsidRPr="00944F24" w:rsidRDefault="00E34CF3" w:rsidP="00560E34">
      <w:pPr>
        <w:pStyle w:val="Overskrift2"/>
        <w:rPr>
          <w:lang w:val="en-GB"/>
        </w:rPr>
      </w:pPr>
      <w:r w:rsidRPr="00944F24">
        <w:rPr>
          <w:lang w:val="en-GB"/>
        </w:rPr>
        <w:t>Conclu</w:t>
      </w:r>
      <w:r w:rsidR="00FF660A" w:rsidRPr="00944F24">
        <w:rPr>
          <w:lang w:val="en-GB"/>
        </w:rPr>
        <w:t>s</w:t>
      </w:r>
      <w:r w:rsidRPr="00944F24">
        <w:rPr>
          <w:lang w:val="en-GB"/>
        </w:rPr>
        <w:t xml:space="preserve">ion </w:t>
      </w:r>
    </w:p>
    <w:p w14:paraId="0FCEC7E1" w14:textId="5EA4CF89" w:rsidR="00F24287" w:rsidRPr="00944F24" w:rsidRDefault="00F24287" w:rsidP="004F742F">
      <w:pPr>
        <w:spacing w:after="0" w:line="480" w:lineRule="auto"/>
        <w:rPr>
          <w:lang w:val="en-GB"/>
        </w:rPr>
      </w:pPr>
      <w:r w:rsidRPr="00944F24">
        <w:rPr>
          <w:lang w:val="en-GB"/>
        </w:rPr>
        <w:t xml:space="preserve">This retrospective </w:t>
      </w:r>
      <w:r w:rsidR="002600F5">
        <w:rPr>
          <w:lang w:val="en-GB"/>
        </w:rPr>
        <w:t>case series</w:t>
      </w:r>
      <w:r w:rsidRPr="00944F24">
        <w:rPr>
          <w:lang w:val="en-GB"/>
        </w:rPr>
        <w:t xml:space="preserve"> </w:t>
      </w:r>
      <w:r w:rsidR="00A921E2">
        <w:rPr>
          <w:lang w:val="en-GB"/>
        </w:rPr>
        <w:t>of</w:t>
      </w:r>
      <w:r w:rsidRPr="00944F24">
        <w:rPr>
          <w:lang w:val="en-GB"/>
        </w:rPr>
        <w:t xml:space="preserve"> patient</w:t>
      </w:r>
      <w:r w:rsidR="001F7070">
        <w:rPr>
          <w:lang w:val="en-GB"/>
        </w:rPr>
        <w:t>-</w:t>
      </w:r>
      <w:r w:rsidRPr="00944F24">
        <w:rPr>
          <w:lang w:val="en-GB"/>
        </w:rPr>
        <w:t>reported safety, clinical examinations</w:t>
      </w:r>
      <w:r w:rsidR="00A921E2">
        <w:rPr>
          <w:lang w:val="en-GB"/>
        </w:rPr>
        <w:t>,</w:t>
      </w:r>
      <w:r w:rsidRPr="00944F24">
        <w:rPr>
          <w:lang w:val="en-GB"/>
        </w:rPr>
        <w:t xml:space="preserve"> and medical record reviews, found no significant incidence of adverse events or serious adverse events related to the intra-articular treatment with a proprietary 2.5 % cross-linked polyacrylamide gel for the relief of knee osteoarthritis pain and disability.</w:t>
      </w:r>
      <w:r w:rsidR="00A921E2">
        <w:rPr>
          <w:lang w:val="en-GB"/>
        </w:rPr>
        <w:t xml:space="preserve"> </w:t>
      </w:r>
    </w:p>
    <w:p w14:paraId="14BC0342" w14:textId="77777777" w:rsidR="00944F24" w:rsidRPr="00944F24" w:rsidRDefault="00944F24" w:rsidP="004F742F">
      <w:pPr>
        <w:spacing w:after="0" w:line="480" w:lineRule="auto"/>
        <w:rPr>
          <w:i/>
          <w:lang w:val="en-GB"/>
        </w:rPr>
      </w:pPr>
      <w:r w:rsidRPr="00944F24">
        <w:rPr>
          <w:i/>
          <w:lang w:val="en-GB"/>
        </w:rPr>
        <w:br w:type="page"/>
      </w:r>
    </w:p>
    <w:p w14:paraId="4B7846B6" w14:textId="4F386914" w:rsidR="00E34CF3" w:rsidRPr="005E5EDC" w:rsidRDefault="00944F24" w:rsidP="00560E34">
      <w:pPr>
        <w:pStyle w:val="Overskrift2"/>
      </w:pPr>
      <w:r w:rsidRPr="005E5EDC">
        <w:lastRenderedPageBreak/>
        <w:t>References</w:t>
      </w:r>
      <w:r w:rsidR="00E34CF3" w:rsidRPr="005E5EDC">
        <w:t xml:space="preserve"> </w:t>
      </w:r>
    </w:p>
    <w:p w14:paraId="603D8FE7" w14:textId="77777777" w:rsidR="00F24287" w:rsidRPr="00944F24" w:rsidRDefault="00F24287" w:rsidP="004F742F">
      <w:pPr>
        <w:spacing w:after="0" w:line="480" w:lineRule="auto"/>
        <w:rPr>
          <w:rFonts w:asciiTheme="majorHAnsi" w:hAnsiTheme="majorHAnsi"/>
          <w:lang w:val="en-GB"/>
        </w:rPr>
      </w:pPr>
      <w:r w:rsidRPr="00881E77">
        <w:rPr>
          <w:rFonts w:asciiTheme="majorHAnsi" w:hAnsiTheme="majorHAnsi"/>
        </w:rPr>
        <w:t xml:space="preserve">1. Felson DT, Lawrence RC, Dieppe PA, Hirsch R, Helmick CG, Jordan JM, et al. </w:t>
      </w:r>
      <w:r w:rsidRPr="00944F24">
        <w:rPr>
          <w:rFonts w:asciiTheme="majorHAnsi" w:hAnsiTheme="majorHAnsi"/>
          <w:lang w:val="en-GB"/>
        </w:rPr>
        <w:t>Osteoarthritis: new insights. Part 1: the disease and its risk factors. Ann Intern Med. 2000;133(8):635-46.</w:t>
      </w:r>
    </w:p>
    <w:p w14:paraId="34C67E50" w14:textId="77777777" w:rsidR="00F24287" w:rsidRPr="00944F24" w:rsidRDefault="00F24287" w:rsidP="004F742F">
      <w:pPr>
        <w:spacing w:after="0" w:line="480" w:lineRule="auto"/>
        <w:rPr>
          <w:rFonts w:asciiTheme="majorHAnsi" w:hAnsiTheme="majorHAnsi"/>
          <w:lang w:val="en-GB"/>
        </w:rPr>
      </w:pPr>
      <w:r w:rsidRPr="00944F24">
        <w:rPr>
          <w:rFonts w:asciiTheme="majorHAnsi" w:hAnsiTheme="majorHAnsi"/>
          <w:lang w:val="en-GB"/>
        </w:rPr>
        <w:t xml:space="preserve">2. Peat G, </w:t>
      </w:r>
      <w:proofErr w:type="spellStart"/>
      <w:r w:rsidRPr="00944F24">
        <w:rPr>
          <w:rFonts w:asciiTheme="majorHAnsi" w:hAnsiTheme="majorHAnsi"/>
          <w:lang w:val="en-GB"/>
        </w:rPr>
        <w:t>McCarney</w:t>
      </w:r>
      <w:proofErr w:type="spellEnd"/>
      <w:r w:rsidRPr="00944F24">
        <w:rPr>
          <w:rFonts w:asciiTheme="majorHAnsi" w:hAnsiTheme="majorHAnsi"/>
          <w:lang w:val="en-GB"/>
        </w:rPr>
        <w:t xml:space="preserve"> R, Croft P. Knee pain and osteoarthritis in older adults: a review of community burden and current use of primary health care. Ann Rheum Dis. 2001;60(2):91-7.</w:t>
      </w:r>
    </w:p>
    <w:p w14:paraId="1AC47411" w14:textId="7DA7BA7C" w:rsidR="00CF545D" w:rsidRPr="00944F24" w:rsidRDefault="00CF545D" w:rsidP="004F742F">
      <w:pPr>
        <w:spacing w:after="0" w:line="480" w:lineRule="auto"/>
        <w:rPr>
          <w:rFonts w:asciiTheme="majorHAnsi" w:hAnsiTheme="majorHAnsi"/>
          <w:lang w:val="en-GB"/>
        </w:rPr>
      </w:pPr>
      <w:r w:rsidRPr="00944F24">
        <w:rPr>
          <w:rFonts w:asciiTheme="majorHAnsi" w:hAnsiTheme="majorHAnsi"/>
          <w:lang w:val="en-GB"/>
        </w:rPr>
        <w:t xml:space="preserve">3. McCollister DD, Hake CL, </w:t>
      </w:r>
      <w:proofErr w:type="spellStart"/>
      <w:r w:rsidRPr="00944F24">
        <w:rPr>
          <w:rFonts w:asciiTheme="majorHAnsi" w:hAnsiTheme="majorHAnsi"/>
          <w:lang w:val="en-GB"/>
        </w:rPr>
        <w:t>Sadek</w:t>
      </w:r>
      <w:proofErr w:type="spellEnd"/>
      <w:r w:rsidRPr="00944F24">
        <w:rPr>
          <w:rFonts w:asciiTheme="majorHAnsi" w:hAnsiTheme="majorHAnsi"/>
          <w:lang w:val="en-GB"/>
        </w:rPr>
        <w:t xml:space="preserve"> SE, Rowe VK. Toxicological investigations of polyacrylamides. </w:t>
      </w:r>
      <w:proofErr w:type="spellStart"/>
      <w:r w:rsidRPr="00944F24">
        <w:rPr>
          <w:rFonts w:asciiTheme="majorHAnsi" w:hAnsiTheme="majorHAnsi"/>
          <w:lang w:val="en-GB"/>
        </w:rPr>
        <w:t>Toxicol</w:t>
      </w:r>
      <w:proofErr w:type="spellEnd"/>
      <w:r w:rsidRPr="00944F24">
        <w:rPr>
          <w:rFonts w:asciiTheme="majorHAnsi" w:hAnsiTheme="majorHAnsi"/>
          <w:lang w:val="en-GB"/>
        </w:rPr>
        <w:t xml:space="preserve"> </w:t>
      </w:r>
      <w:proofErr w:type="spellStart"/>
      <w:r w:rsidRPr="00944F24">
        <w:rPr>
          <w:rFonts w:asciiTheme="majorHAnsi" w:hAnsiTheme="majorHAnsi"/>
          <w:lang w:val="en-GB"/>
        </w:rPr>
        <w:t>Appl</w:t>
      </w:r>
      <w:proofErr w:type="spellEnd"/>
      <w:r w:rsidRPr="00944F24">
        <w:rPr>
          <w:rFonts w:asciiTheme="majorHAnsi" w:hAnsiTheme="majorHAnsi"/>
          <w:lang w:val="en-GB"/>
        </w:rPr>
        <w:t xml:space="preserve"> </w:t>
      </w:r>
      <w:proofErr w:type="spellStart"/>
      <w:r w:rsidRPr="00944F24">
        <w:rPr>
          <w:rFonts w:asciiTheme="majorHAnsi" w:hAnsiTheme="majorHAnsi"/>
          <w:lang w:val="en-GB"/>
        </w:rPr>
        <w:t>Pharmacol</w:t>
      </w:r>
      <w:proofErr w:type="spellEnd"/>
      <w:r w:rsidRPr="00944F24">
        <w:rPr>
          <w:rFonts w:asciiTheme="majorHAnsi" w:hAnsiTheme="majorHAnsi"/>
          <w:lang w:val="en-GB"/>
        </w:rPr>
        <w:t xml:space="preserve"> </w:t>
      </w:r>
      <w:proofErr w:type="gramStart"/>
      <w:r w:rsidRPr="00944F24">
        <w:rPr>
          <w:rFonts w:asciiTheme="majorHAnsi" w:hAnsiTheme="majorHAnsi"/>
          <w:lang w:val="en-GB"/>
        </w:rPr>
        <w:t>1965;7:639</w:t>
      </w:r>
      <w:proofErr w:type="gramEnd"/>
      <w:r w:rsidRPr="00944F24">
        <w:rPr>
          <w:rFonts w:asciiTheme="majorHAnsi" w:hAnsiTheme="majorHAnsi"/>
          <w:lang w:val="en-GB"/>
        </w:rPr>
        <w:t>–51</w:t>
      </w:r>
    </w:p>
    <w:p w14:paraId="26AA3018" w14:textId="15EEA4D3" w:rsidR="00CF545D" w:rsidRPr="00881E77" w:rsidRDefault="00CF545D" w:rsidP="004F742F">
      <w:pPr>
        <w:spacing w:after="0" w:line="480" w:lineRule="auto"/>
        <w:rPr>
          <w:rFonts w:asciiTheme="majorHAnsi" w:hAnsiTheme="majorHAnsi"/>
          <w:lang w:val="it-IT"/>
        </w:rPr>
      </w:pPr>
      <w:r w:rsidRPr="00944F24">
        <w:rPr>
          <w:rFonts w:asciiTheme="majorHAnsi" w:hAnsiTheme="majorHAnsi"/>
          <w:lang w:val="en-GB"/>
        </w:rPr>
        <w:t xml:space="preserve">4. King DJ, </w:t>
      </w:r>
      <w:proofErr w:type="spellStart"/>
      <w:r w:rsidRPr="00944F24">
        <w:rPr>
          <w:rFonts w:asciiTheme="majorHAnsi" w:hAnsiTheme="majorHAnsi"/>
          <w:lang w:val="en-GB"/>
        </w:rPr>
        <w:t>Noss</w:t>
      </w:r>
      <w:proofErr w:type="spellEnd"/>
      <w:r w:rsidRPr="00944F24">
        <w:rPr>
          <w:rFonts w:asciiTheme="majorHAnsi" w:hAnsiTheme="majorHAnsi"/>
          <w:lang w:val="en-GB"/>
        </w:rPr>
        <w:t xml:space="preserve"> RR. Toxicity of polyacrylamide and acrylamide monomer. </w:t>
      </w:r>
      <w:r w:rsidRPr="00881E77">
        <w:rPr>
          <w:rFonts w:asciiTheme="majorHAnsi" w:hAnsiTheme="majorHAnsi"/>
          <w:lang w:val="it-IT"/>
        </w:rPr>
        <w:t>Rev Environ Health 1989;8:3–16</w:t>
      </w:r>
    </w:p>
    <w:p w14:paraId="7F35F748" w14:textId="693BA8B5" w:rsidR="00CF545D" w:rsidRPr="00944F24" w:rsidRDefault="00CF545D" w:rsidP="004F742F">
      <w:pPr>
        <w:spacing w:after="0" w:line="480" w:lineRule="auto"/>
        <w:rPr>
          <w:rFonts w:asciiTheme="majorHAnsi" w:hAnsiTheme="majorHAnsi"/>
          <w:lang w:val="en-GB"/>
        </w:rPr>
      </w:pPr>
      <w:r w:rsidRPr="00881E77">
        <w:rPr>
          <w:rFonts w:asciiTheme="majorHAnsi" w:hAnsiTheme="majorHAnsi"/>
          <w:lang w:val="it-IT"/>
        </w:rPr>
        <w:t xml:space="preserve">5. Zarini E, Supino R, Pratesi G, Laccabue D, et al. </w:t>
      </w:r>
      <w:r w:rsidRPr="00944F24">
        <w:rPr>
          <w:rFonts w:asciiTheme="majorHAnsi" w:hAnsiTheme="majorHAnsi"/>
          <w:lang w:val="en-GB"/>
        </w:rPr>
        <w:t xml:space="preserve">Biocompatibility and tissue interactions of a new filler material for medical use. </w:t>
      </w:r>
      <w:proofErr w:type="spellStart"/>
      <w:r w:rsidRPr="00944F24">
        <w:rPr>
          <w:rFonts w:asciiTheme="majorHAnsi" w:hAnsiTheme="majorHAnsi"/>
          <w:lang w:val="en-GB"/>
        </w:rPr>
        <w:t>Plast</w:t>
      </w:r>
      <w:proofErr w:type="spellEnd"/>
      <w:r w:rsidRPr="00944F24">
        <w:rPr>
          <w:rFonts w:asciiTheme="majorHAnsi" w:hAnsiTheme="majorHAnsi"/>
          <w:lang w:val="en-GB"/>
        </w:rPr>
        <w:t xml:space="preserve"> </w:t>
      </w:r>
      <w:proofErr w:type="spellStart"/>
      <w:r w:rsidRPr="00944F24">
        <w:rPr>
          <w:rFonts w:asciiTheme="majorHAnsi" w:hAnsiTheme="majorHAnsi"/>
          <w:lang w:val="en-GB"/>
        </w:rPr>
        <w:t>Reconstr</w:t>
      </w:r>
      <w:proofErr w:type="spellEnd"/>
      <w:r w:rsidRPr="00944F24">
        <w:rPr>
          <w:rFonts w:asciiTheme="majorHAnsi" w:hAnsiTheme="majorHAnsi"/>
          <w:lang w:val="en-GB"/>
        </w:rPr>
        <w:t xml:space="preserve"> </w:t>
      </w:r>
      <w:proofErr w:type="spellStart"/>
      <w:r w:rsidRPr="00944F24">
        <w:rPr>
          <w:rFonts w:asciiTheme="majorHAnsi" w:hAnsiTheme="majorHAnsi"/>
          <w:lang w:val="en-GB"/>
        </w:rPr>
        <w:t>Surg</w:t>
      </w:r>
      <w:proofErr w:type="spellEnd"/>
      <w:r w:rsidRPr="00944F24">
        <w:rPr>
          <w:rFonts w:asciiTheme="majorHAnsi" w:hAnsiTheme="majorHAnsi"/>
          <w:lang w:val="en-GB"/>
        </w:rPr>
        <w:t xml:space="preserve"> </w:t>
      </w:r>
      <w:proofErr w:type="gramStart"/>
      <w:r w:rsidRPr="00944F24">
        <w:rPr>
          <w:rFonts w:asciiTheme="majorHAnsi" w:hAnsiTheme="majorHAnsi"/>
          <w:lang w:val="en-GB"/>
        </w:rPr>
        <w:t>2004;114:934</w:t>
      </w:r>
      <w:proofErr w:type="gramEnd"/>
      <w:r w:rsidRPr="00944F24">
        <w:rPr>
          <w:rFonts w:asciiTheme="majorHAnsi" w:hAnsiTheme="majorHAnsi"/>
          <w:lang w:val="en-GB"/>
        </w:rPr>
        <w:t>–42</w:t>
      </w:r>
    </w:p>
    <w:p w14:paraId="213F9726" w14:textId="1F2DA8F0" w:rsidR="00CF545D" w:rsidRPr="00944F24" w:rsidRDefault="00CF545D" w:rsidP="004F742F">
      <w:pPr>
        <w:spacing w:after="0" w:line="480" w:lineRule="auto"/>
        <w:rPr>
          <w:rFonts w:asciiTheme="majorHAnsi" w:hAnsiTheme="majorHAnsi"/>
          <w:lang w:val="en-GB"/>
        </w:rPr>
      </w:pPr>
      <w:r w:rsidRPr="00944F24">
        <w:rPr>
          <w:rFonts w:asciiTheme="majorHAnsi" w:hAnsiTheme="majorHAnsi"/>
          <w:lang w:val="en-GB"/>
        </w:rPr>
        <w:t xml:space="preserve">6. von </w:t>
      </w:r>
      <w:proofErr w:type="spellStart"/>
      <w:r w:rsidRPr="00944F24">
        <w:rPr>
          <w:rFonts w:asciiTheme="majorHAnsi" w:hAnsiTheme="majorHAnsi"/>
          <w:lang w:val="en-GB"/>
        </w:rPr>
        <w:t>Buelow</w:t>
      </w:r>
      <w:proofErr w:type="spellEnd"/>
      <w:r w:rsidRPr="00944F24">
        <w:rPr>
          <w:rFonts w:asciiTheme="majorHAnsi" w:hAnsiTheme="majorHAnsi"/>
          <w:lang w:val="en-GB"/>
        </w:rPr>
        <w:t xml:space="preserve"> S, von </w:t>
      </w:r>
      <w:proofErr w:type="spellStart"/>
      <w:r w:rsidRPr="00944F24">
        <w:rPr>
          <w:rFonts w:asciiTheme="majorHAnsi" w:hAnsiTheme="majorHAnsi"/>
          <w:lang w:val="en-GB"/>
        </w:rPr>
        <w:t>Heimburg</w:t>
      </w:r>
      <w:proofErr w:type="spellEnd"/>
      <w:r w:rsidRPr="00944F24">
        <w:rPr>
          <w:rFonts w:asciiTheme="majorHAnsi" w:hAnsiTheme="majorHAnsi"/>
          <w:lang w:val="en-GB"/>
        </w:rPr>
        <w:t xml:space="preserve"> D, </w:t>
      </w:r>
      <w:proofErr w:type="spellStart"/>
      <w:r w:rsidRPr="00944F24">
        <w:rPr>
          <w:rFonts w:asciiTheme="majorHAnsi" w:hAnsiTheme="majorHAnsi"/>
          <w:lang w:val="en-GB"/>
        </w:rPr>
        <w:t>Pallua</w:t>
      </w:r>
      <w:proofErr w:type="spellEnd"/>
      <w:r w:rsidRPr="00944F24">
        <w:rPr>
          <w:rFonts w:asciiTheme="majorHAnsi" w:hAnsiTheme="majorHAnsi"/>
          <w:lang w:val="en-GB"/>
        </w:rPr>
        <w:t xml:space="preserve"> N. Efficacy and safety of polyacrylamide hydrogel for facial soft-tissue augmentation. </w:t>
      </w:r>
      <w:proofErr w:type="spellStart"/>
      <w:r w:rsidRPr="00944F24">
        <w:rPr>
          <w:rFonts w:asciiTheme="majorHAnsi" w:hAnsiTheme="majorHAnsi"/>
          <w:lang w:val="en-GB"/>
        </w:rPr>
        <w:t>Plast</w:t>
      </w:r>
      <w:proofErr w:type="spellEnd"/>
      <w:r w:rsidRPr="00944F24">
        <w:rPr>
          <w:rFonts w:asciiTheme="majorHAnsi" w:hAnsiTheme="majorHAnsi"/>
          <w:lang w:val="en-GB"/>
        </w:rPr>
        <w:t xml:space="preserve"> </w:t>
      </w:r>
      <w:proofErr w:type="spellStart"/>
      <w:r w:rsidRPr="00944F24">
        <w:rPr>
          <w:rFonts w:asciiTheme="majorHAnsi" w:hAnsiTheme="majorHAnsi"/>
          <w:lang w:val="en-GB"/>
        </w:rPr>
        <w:t>Reconstr</w:t>
      </w:r>
      <w:proofErr w:type="spellEnd"/>
      <w:r w:rsidRPr="00944F24">
        <w:rPr>
          <w:rFonts w:asciiTheme="majorHAnsi" w:hAnsiTheme="majorHAnsi"/>
          <w:lang w:val="en-GB"/>
        </w:rPr>
        <w:t xml:space="preserve"> </w:t>
      </w:r>
      <w:proofErr w:type="spellStart"/>
      <w:r w:rsidRPr="00944F24">
        <w:rPr>
          <w:rFonts w:asciiTheme="majorHAnsi" w:hAnsiTheme="majorHAnsi"/>
          <w:lang w:val="en-GB"/>
        </w:rPr>
        <w:t>Surg</w:t>
      </w:r>
      <w:proofErr w:type="spellEnd"/>
      <w:r w:rsidRPr="00944F24">
        <w:rPr>
          <w:rFonts w:asciiTheme="majorHAnsi" w:hAnsiTheme="majorHAnsi"/>
          <w:lang w:val="en-GB"/>
        </w:rPr>
        <w:t xml:space="preserve"> </w:t>
      </w:r>
      <w:proofErr w:type="gramStart"/>
      <w:r w:rsidRPr="00944F24">
        <w:rPr>
          <w:rFonts w:asciiTheme="majorHAnsi" w:hAnsiTheme="majorHAnsi"/>
          <w:lang w:val="en-GB"/>
        </w:rPr>
        <w:t>2005;116:1137</w:t>
      </w:r>
      <w:proofErr w:type="gramEnd"/>
      <w:r w:rsidRPr="00944F24">
        <w:rPr>
          <w:rFonts w:asciiTheme="majorHAnsi" w:hAnsiTheme="majorHAnsi"/>
          <w:lang w:val="en-GB"/>
        </w:rPr>
        <w:t>–46. Discussion 1147–8</w:t>
      </w:r>
    </w:p>
    <w:p w14:paraId="35B6B5A9" w14:textId="5183CEC4" w:rsidR="00CF545D" w:rsidRPr="00944F24" w:rsidRDefault="00CF545D" w:rsidP="004F742F">
      <w:pPr>
        <w:spacing w:after="0" w:line="480" w:lineRule="auto"/>
        <w:rPr>
          <w:rFonts w:asciiTheme="majorHAnsi" w:hAnsiTheme="majorHAnsi"/>
          <w:lang w:val="en-GB"/>
        </w:rPr>
      </w:pPr>
      <w:r w:rsidRPr="00944F24">
        <w:rPr>
          <w:rFonts w:asciiTheme="majorHAnsi" w:hAnsiTheme="majorHAnsi"/>
          <w:lang w:val="en-GB"/>
        </w:rPr>
        <w:t xml:space="preserve">7. </w:t>
      </w:r>
      <w:r w:rsidR="00045C5D" w:rsidRPr="00944F24">
        <w:rPr>
          <w:rFonts w:asciiTheme="majorHAnsi" w:hAnsiTheme="majorHAnsi"/>
          <w:lang w:val="en-GB"/>
        </w:rPr>
        <w:t xml:space="preserve">Wolters, M., &amp; Lampe, H. (2009). Prospective </w:t>
      </w:r>
      <w:proofErr w:type="spellStart"/>
      <w:r w:rsidR="00045C5D" w:rsidRPr="00944F24">
        <w:rPr>
          <w:rFonts w:asciiTheme="majorHAnsi" w:hAnsiTheme="majorHAnsi"/>
          <w:lang w:val="en-GB"/>
        </w:rPr>
        <w:t>Multicenter</w:t>
      </w:r>
      <w:proofErr w:type="spellEnd"/>
      <w:r w:rsidR="00045C5D" w:rsidRPr="00944F24">
        <w:rPr>
          <w:rFonts w:asciiTheme="majorHAnsi" w:hAnsiTheme="majorHAnsi"/>
          <w:lang w:val="en-GB"/>
        </w:rPr>
        <w:t xml:space="preserve"> Study for Evaluation of Safety, Efficacy, and </w:t>
      </w:r>
      <w:proofErr w:type="spellStart"/>
      <w:r w:rsidR="00045C5D" w:rsidRPr="00944F24">
        <w:rPr>
          <w:rFonts w:asciiTheme="majorHAnsi" w:hAnsiTheme="majorHAnsi"/>
          <w:lang w:val="en-GB"/>
        </w:rPr>
        <w:t>Esthetic</w:t>
      </w:r>
      <w:proofErr w:type="spellEnd"/>
      <w:r w:rsidR="00045C5D" w:rsidRPr="00944F24">
        <w:rPr>
          <w:rFonts w:asciiTheme="majorHAnsi" w:hAnsiTheme="majorHAnsi"/>
          <w:lang w:val="en-GB"/>
        </w:rPr>
        <w:t xml:space="preserve"> Results of Cross-Linked Polyacrylamide Hydrogel in 81 Patients. </w:t>
      </w:r>
      <w:r w:rsidR="00045C5D" w:rsidRPr="00944F24">
        <w:rPr>
          <w:rFonts w:asciiTheme="majorHAnsi" w:hAnsiTheme="majorHAnsi"/>
          <w:iCs/>
          <w:lang w:val="en-GB"/>
        </w:rPr>
        <w:t>Dermatologic Surgery</w:t>
      </w:r>
      <w:r w:rsidR="00045C5D" w:rsidRPr="00944F24">
        <w:rPr>
          <w:rFonts w:asciiTheme="majorHAnsi" w:hAnsiTheme="majorHAnsi"/>
          <w:lang w:val="en-GB"/>
        </w:rPr>
        <w:t xml:space="preserve">, </w:t>
      </w:r>
      <w:r w:rsidR="00045C5D" w:rsidRPr="00944F24">
        <w:rPr>
          <w:rFonts w:asciiTheme="majorHAnsi" w:hAnsiTheme="majorHAnsi"/>
          <w:iCs/>
          <w:lang w:val="en-GB"/>
        </w:rPr>
        <w:t>35 Sup 1</w:t>
      </w:r>
      <w:r w:rsidR="00045C5D" w:rsidRPr="00944F24">
        <w:rPr>
          <w:rFonts w:asciiTheme="majorHAnsi" w:hAnsiTheme="majorHAnsi"/>
          <w:lang w:val="en-GB"/>
        </w:rPr>
        <w:t>(Sup 1), 338–343</w:t>
      </w:r>
    </w:p>
    <w:p w14:paraId="1F965364" w14:textId="63579205" w:rsidR="00CF545D" w:rsidRPr="00944F24" w:rsidRDefault="00045C5D" w:rsidP="004F742F">
      <w:pPr>
        <w:spacing w:after="0" w:line="480" w:lineRule="auto"/>
        <w:rPr>
          <w:rFonts w:asciiTheme="majorHAnsi" w:hAnsiTheme="majorHAnsi"/>
          <w:color w:val="333333"/>
          <w:spacing w:val="2"/>
          <w:shd w:val="clear" w:color="auto" w:fill="FCFCFC"/>
          <w:lang w:val="en-GB"/>
        </w:rPr>
      </w:pPr>
      <w:r w:rsidRPr="00944F24">
        <w:rPr>
          <w:rFonts w:asciiTheme="majorHAnsi" w:hAnsiTheme="majorHAnsi"/>
          <w:color w:val="333333"/>
          <w:spacing w:val="2"/>
          <w:shd w:val="clear" w:color="auto" w:fill="FCFCFC"/>
          <w:lang w:val="en-GB"/>
        </w:rPr>
        <w:t xml:space="preserve">8 </w:t>
      </w:r>
      <w:proofErr w:type="spellStart"/>
      <w:r w:rsidRPr="00944F24">
        <w:rPr>
          <w:rFonts w:asciiTheme="majorHAnsi" w:hAnsiTheme="majorHAnsi"/>
          <w:color w:val="333333"/>
          <w:spacing w:val="2"/>
          <w:shd w:val="clear" w:color="auto" w:fill="FCFCFC"/>
          <w:lang w:val="en-GB"/>
        </w:rPr>
        <w:t>Pallua</w:t>
      </w:r>
      <w:proofErr w:type="spellEnd"/>
      <w:r w:rsidRPr="00944F24">
        <w:rPr>
          <w:rFonts w:asciiTheme="majorHAnsi" w:hAnsiTheme="majorHAnsi"/>
          <w:color w:val="333333"/>
          <w:spacing w:val="2"/>
          <w:shd w:val="clear" w:color="auto" w:fill="FCFCFC"/>
          <w:lang w:val="en-GB"/>
        </w:rPr>
        <w:t xml:space="preserve"> N, </w:t>
      </w:r>
      <w:proofErr w:type="spellStart"/>
      <w:r w:rsidRPr="00944F24">
        <w:rPr>
          <w:rFonts w:asciiTheme="majorHAnsi" w:hAnsiTheme="majorHAnsi"/>
          <w:color w:val="333333"/>
          <w:spacing w:val="2"/>
          <w:shd w:val="clear" w:color="auto" w:fill="FCFCFC"/>
          <w:lang w:val="en-GB"/>
        </w:rPr>
        <w:t>Wolter</w:t>
      </w:r>
      <w:proofErr w:type="spellEnd"/>
      <w:r w:rsidRPr="00944F24">
        <w:rPr>
          <w:rFonts w:asciiTheme="majorHAnsi" w:hAnsiTheme="majorHAnsi"/>
          <w:color w:val="333333"/>
          <w:spacing w:val="2"/>
          <w:shd w:val="clear" w:color="auto" w:fill="FCFCFC"/>
          <w:lang w:val="en-GB"/>
        </w:rPr>
        <w:t xml:space="preserve"> TP (2010) A 5-year assessment of safety and aesthetic results after facial soft-tissue augmentation with polyacrylamide hydrogel (</w:t>
      </w:r>
      <w:proofErr w:type="spellStart"/>
      <w:r w:rsidRPr="00944F24">
        <w:rPr>
          <w:rFonts w:asciiTheme="majorHAnsi" w:hAnsiTheme="majorHAnsi"/>
          <w:color w:val="333333"/>
          <w:spacing w:val="2"/>
          <w:shd w:val="clear" w:color="auto" w:fill="FCFCFC"/>
          <w:lang w:val="en-GB"/>
        </w:rPr>
        <w:t>Aquamid</w:t>
      </w:r>
      <w:proofErr w:type="spellEnd"/>
      <w:r w:rsidRPr="00944F24">
        <w:rPr>
          <w:rFonts w:asciiTheme="majorHAnsi" w:hAnsiTheme="majorHAnsi"/>
          <w:color w:val="333333"/>
          <w:spacing w:val="2"/>
          <w:shd w:val="clear" w:color="auto" w:fill="FCFCFC"/>
          <w:lang w:val="en-GB"/>
        </w:rPr>
        <w:t xml:space="preserve">): a prospective </w:t>
      </w:r>
      <w:proofErr w:type="spellStart"/>
      <w:r w:rsidRPr="00944F24">
        <w:rPr>
          <w:rFonts w:asciiTheme="majorHAnsi" w:hAnsiTheme="majorHAnsi"/>
          <w:color w:val="333333"/>
          <w:spacing w:val="2"/>
          <w:shd w:val="clear" w:color="auto" w:fill="FCFCFC"/>
          <w:lang w:val="en-GB"/>
        </w:rPr>
        <w:t>multicenter</w:t>
      </w:r>
      <w:proofErr w:type="spellEnd"/>
      <w:r w:rsidRPr="00944F24">
        <w:rPr>
          <w:rFonts w:asciiTheme="majorHAnsi" w:hAnsiTheme="majorHAnsi"/>
          <w:color w:val="333333"/>
          <w:spacing w:val="2"/>
          <w:shd w:val="clear" w:color="auto" w:fill="FCFCFC"/>
          <w:lang w:val="en-GB"/>
        </w:rPr>
        <w:t xml:space="preserve"> study of 251 patients. </w:t>
      </w:r>
      <w:proofErr w:type="spellStart"/>
      <w:r w:rsidRPr="00944F24">
        <w:rPr>
          <w:rFonts w:asciiTheme="majorHAnsi" w:hAnsiTheme="majorHAnsi"/>
          <w:color w:val="333333"/>
          <w:spacing w:val="2"/>
          <w:shd w:val="clear" w:color="auto" w:fill="FCFCFC"/>
          <w:lang w:val="en-GB"/>
        </w:rPr>
        <w:t>Plast</w:t>
      </w:r>
      <w:proofErr w:type="spellEnd"/>
      <w:r w:rsidRPr="00944F24">
        <w:rPr>
          <w:rFonts w:asciiTheme="majorHAnsi" w:hAnsiTheme="majorHAnsi"/>
          <w:color w:val="333333"/>
          <w:spacing w:val="2"/>
          <w:shd w:val="clear" w:color="auto" w:fill="FCFCFC"/>
          <w:lang w:val="en-GB"/>
        </w:rPr>
        <w:t xml:space="preserve"> </w:t>
      </w:r>
      <w:proofErr w:type="spellStart"/>
      <w:r w:rsidRPr="00944F24">
        <w:rPr>
          <w:rFonts w:asciiTheme="majorHAnsi" w:hAnsiTheme="majorHAnsi"/>
          <w:color w:val="333333"/>
          <w:spacing w:val="2"/>
          <w:shd w:val="clear" w:color="auto" w:fill="FCFCFC"/>
          <w:lang w:val="en-GB"/>
        </w:rPr>
        <w:t>Reconstr</w:t>
      </w:r>
      <w:proofErr w:type="spellEnd"/>
      <w:r w:rsidRPr="00944F24">
        <w:rPr>
          <w:rFonts w:asciiTheme="majorHAnsi" w:hAnsiTheme="majorHAnsi"/>
          <w:color w:val="333333"/>
          <w:spacing w:val="2"/>
          <w:shd w:val="clear" w:color="auto" w:fill="FCFCFC"/>
          <w:lang w:val="en-GB"/>
        </w:rPr>
        <w:t xml:space="preserve"> </w:t>
      </w:r>
      <w:proofErr w:type="spellStart"/>
      <w:r w:rsidRPr="00944F24">
        <w:rPr>
          <w:rFonts w:asciiTheme="majorHAnsi" w:hAnsiTheme="majorHAnsi"/>
          <w:color w:val="333333"/>
          <w:spacing w:val="2"/>
          <w:shd w:val="clear" w:color="auto" w:fill="FCFCFC"/>
          <w:lang w:val="en-GB"/>
        </w:rPr>
        <w:t>Surg</w:t>
      </w:r>
      <w:proofErr w:type="spellEnd"/>
      <w:r w:rsidRPr="00944F24">
        <w:rPr>
          <w:rFonts w:asciiTheme="majorHAnsi" w:hAnsiTheme="majorHAnsi"/>
          <w:color w:val="333333"/>
          <w:spacing w:val="2"/>
          <w:shd w:val="clear" w:color="auto" w:fill="FCFCFC"/>
          <w:lang w:val="en-GB"/>
        </w:rPr>
        <w:t xml:space="preserve"> 125:1797–1804</w:t>
      </w:r>
    </w:p>
    <w:p w14:paraId="3189BBB5" w14:textId="7A336513" w:rsidR="00045C5D" w:rsidRPr="005E5EDC" w:rsidRDefault="00045C5D" w:rsidP="004F742F">
      <w:pPr>
        <w:spacing w:after="0" w:line="480" w:lineRule="auto"/>
        <w:rPr>
          <w:rFonts w:asciiTheme="majorHAnsi" w:hAnsiTheme="majorHAnsi"/>
          <w:color w:val="333333"/>
          <w:spacing w:val="2"/>
          <w:shd w:val="clear" w:color="auto" w:fill="FCFCFC"/>
        </w:rPr>
      </w:pPr>
      <w:r w:rsidRPr="00944F24">
        <w:rPr>
          <w:rFonts w:asciiTheme="majorHAnsi" w:hAnsiTheme="majorHAnsi"/>
          <w:color w:val="333333"/>
          <w:spacing w:val="2"/>
          <w:shd w:val="clear" w:color="auto" w:fill="FCFCFC"/>
          <w:lang w:val="en-GB"/>
        </w:rPr>
        <w:t xml:space="preserve">9. Lose G, </w:t>
      </w:r>
      <w:proofErr w:type="spellStart"/>
      <w:r w:rsidRPr="00944F24">
        <w:rPr>
          <w:rFonts w:asciiTheme="majorHAnsi" w:hAnsiTheme="majorHAnsi"/>
          <w:color w:val="333333"/>
          <w:spacing w:val="2"/>
          <w:shd w:val="clear" w:color="auto" w:fill="FCFCFC"/>
          <w:lang w:val="en-GB"/>
        </w:rPr>
        <w:t>Sørensen</w:t>
      </w:r>
      <w:proofErr w:type="spellEnd"/>
      <w:r w:rsidRPr="00944F24">
        <w:rPr>
          <w:rFonts w:asciiTheme="majorHAnsi" w:hAnsiTheme="majorHAnsi"/>
          <w:color w:val="333333"/>
          <w:spacing w:val="2"/>
          <w:shd w:val="clear" w:color="auto" w:fill="FCFCFC"/>
          <w:lang w:val="en-GB"/>
        </w:rPr>
        <w:t xml:space="preserve"> HC, </w:t>
      </w:r>
      <w:proofErr w:type="spellStart"/>
      <w:r w:rsidRPr="00944F24">
        <w:rPr>
          <w:rFonts w:asciiTheme="majorHAnsi" w:hAnsiTheme="majorHAnsi"/>
          <w:color w:val="333333"/>
          <w:spacing w:val="2"/>
          <w:shd w:val="clear" w:color="auto" w:fill="FCFCFC"/>
          <w:lang w:val="en-GB"/>
        </w:rPr>
        <w:t>Axelsen</w:t>
      </w:r>
      <w:proofErr w:type="spellEnd"/>
      <w:r w:rsidRPr="00944F24">
        <w:rPr>
          <w:rFonts w:asciiTheme="majorHAnsi" w:hAnsiTheme="majorHAnsi"/>
          <w:color w:val="333333"/>
          <w:spacing w:val="2"/>
          <w:shd w:val="clear" w:color="auto" w:fill="FCFCFC"/>
          <w:lang w:val="en-GB"/>
        </w:rPr>
        <w:t xml:space="preserve"> S, Falconer C, </w:t>
      </w:r>
      <w:proofErr w:type="spellStart"/>
      <w:r w:rsidRPr="00944F24">
        <w:rPr>
          <w:rFonts w:asciiTheme="majorHAnsi" w:hAnsiTheme="majorHAnsi"/>
          <w:color w:val="333333"/>
          <w:spacing w:val="2"/>
          <w:shd w:val="clear" w:color="auto" w:fill="FCFCFC"/>
          <w:lang w:val="en-GB"/>
        </w:rPr>
        <w:t>Lobodasch</w:t>
      </w:r>
      <w:proofErr w:type="spellEnd"/>
      <w:r w:rsidRPr="00944F24">
        <w:rPr>
          <w:rFonts w:asciiTheme="majorHAnsi" w:hAnsiTheme="majorHAnsi"/>
          <w:color w:val="333333"/>
          <w:spacing w:val="2"/>
          <w:shd w:val="clear" w:color="auto" w:fill="FCFCFC"/>
          <w:lang w:val="en-GB"/>
        </w:rPr>
        <w:t xml:space="preserve"> K, </w:t>
      </w:r>
      <w:proofErr w:type="spellStart"/>
      <w:r w:rsidRPr="00944F24">
        <w:rPr>
          <w:rFonts w:asciiTheme="majorHAnsi" w:hAnsiTheme="majorHAnsi"/>
          <w:color w:val="333333"/>
          <w:spacing w:val="2"/>
          <w:shd w:val="clear" w:color="auto" w:fill="FCFCFC"/>
          <w:lang w:val="en-GB"/>
        </w:rPr>
        <w:t>Safwat</w:t>
      </w:r>
      <w:proofErr w:type="spellEnd"/>
      <w:r w:rsidRPr="00944F24">
        <w:rPr>
          <w:rFonts w:asciiTheme="majorHAnsi" w:hAnsiTheme="majorHAnsi"/>
          <w:color w:val="333333"/>
          <w:spacing w:val="2"/>
          <w:shd w:val="clear" w:color="auto" w:fill="FCFCFC"/>
          <w:lang w:val="en-GB"/>
        </w:rPr>
        <w:t xml:space="preserve"> T (2010) An open </w:t>
      </w:r>
      <w:proofErr w:type="spellStart"/>
      <w:r w:rsidRPr="00944F24">
        <w:rPr>
          <w:rFonts w:asciiTheme="majorHAnsi" w:hAnsiTheme="majorHAnsi"/>
          <w:color w:val="333333"/>
          <w:spacing w:val="2"/>
          <w:shd w:val="clear" w:color="auto" w:fill="FCFCFC"/>
          <w:lang w:val="en-GB"/>
        </w:rPr>
        <w:t>multicenter</w:t>
      </w:r>
      <w:proofErr w:type="spellEnd"/>
      <w:r w:rsidRPr="00944F24">
        <w:rPr>
          <w:rFonts w:asciiTheme="majorHAnsi" w:hAnsiTheme="majorHAnsi"/>
          <w:color w:val="333333"/>
          <w:spacing w:val="2"/>
          <w:shd w:val="clear" w:color="auto" w:fill="FCFCFC"/>
          <w:lang w:val="en-GB"/>
        </w:rPr>
        <w:t xml:space="preserve"> study of polyacrylamide hydrogel (Bulkamid®) for female stress and mixed urinary incontinence. </w:t>
      </w:r>
      <w:r w:rsidRPr="005E5EDC">
        <w:rPr>
          <w:rFonts w:asciiTheme="majorHAnsi" w:hAnsiTheme="majorHAnsi"/>
          <w:color w:val="333333"/>
          <w:spacing w:val="2"/>
          <w:shd w:val="clear" w:color="auto" w:fill="FCFCFC"/>
        </w:rPr>
        <w:t>Int Urogynecol J 21:1471–1477</w:t>
      </w:r>
    </w:p>
    <w:p w14:paraId="24AAE2DC" w14:textId="579877FF" w:rsidR="00045C5D" w:rsidRPr="00944F24" w:rsidRDefault="00045C5D" w:rsidP="004F742F">
      <w:pPr>
        <w:spacing w:after="0" w:line="480" w:lineRule="auto"/>
        <w:rPr>
          <w:rFonts w:asciiTheme="majorHAnsi" w:hAnsiTheme="majorHAnsi"/>
          <w:lang w:val="en-GB"/>
        </w:rPr>
      </w:pPr>
      <w:r w:rsidRPr="00881E77">
        <w:rPr>
          <w:rFonts w:asciiTheme="majorHAnsi" w:hAnsiTheme="majorHAnsi"/>
        </w:rPr>
        <w:t xml:space="preserve">10. Toozs-Hobson, P., Al-Singary, W., Fynes, M., Tegerstedt, G., &amp; Lose, G. (2012). </w:t>
      </w:r>
      <w:r w:rsidRPr="00944F24">
        <w:rPr>
          <w:rFonts w:asciiTheme="majorHAnsi" w:hAnsiTheme="majorHAnsi"/>
          <w:lang w:val="en-GB"/>
        </w:rPr>
        <w:t xml:space="preserve">Two-year follow-up of an open-label </w:t>
      </w:r>
      <w:proofErr w:type="spellStart"/>
      <w:r w:rsidRPr="00944F24">
        <w:rPr>
          <w:rFonts w:asciiTheme="majorHAnsi" w:hAnsiTheme="majorHAnsi"/>
          <w:lang w:val="en-GB"/>
        </w:rPr>
        <w:t>multicenter</w:t>
      </w:r>
      <w:proofErr w:type="spellEnd"/>
      <w:r w:rsidRPr="00944F24">
        <w:rPr>
          <w:rFonts w:asciiTheme="majorHAnsi" w:hAnsiTheme="majorHAnsi"/>
          <w:lang w:val="en-GB"/>
        </w:rPr>
        <w:t xml:space="preserve"> study of polyacrylamide hydrogel (Bulkamid®) for female stress and stress-predominant mixed incontinence. </w:t>
      </w:r>
      <w:r w:rsidRPr="00944F24">
        <w:rPr>
          <w:rFonts w:asciiTheme="majorHAnsi" w:hAnsiTheme="majorHAnsi"/>
          <w:iCs/>
          <w:lang w:val="en-GB"/>
        </w:rPr>
        <w:t>Including Pelvic Floor Dysfunction</w:t>
      </w:r>
      <w:r w:rsidRPr="00944F24">
        <w:rPr>
          <w:rFonts w:asciiTheme="majorHAnsi" w:hAnsiTheme="majorHAnsi"/>
          <w:lang w:val="en-GB"/>
        </w:rPr>
        <w:t xml:space="preserve">, </w:t>
      </w:r>
      <w:r w:rsidRPr="00944F24">
        <w:rPr>
          <w:rFonts w:asciiTheme="majorHAnsi" w:hAnsiTheme="majorHAnsi"/>
          <w:iCs/>
          <w:lang w:val="en-GB"/>
        </w:rPr>
        <w:t>23</w:t>
      </w:r>
      <w:r w:rsidRPr="00944F24">
        <w:rPr>
          <w:rFonts w:asciiTheme="majorHAnsi" w:hAnsiTheme="majorHAnsi"/>
          <w:lang w:val="en-GB"/>
        </w:rPr>
        <w:t xml:space="preserve">(10), 1373–1378. https://doi.org/10.1007/s00192-012-1761-8  </w:t>
      </w:r>
    </w:p>
    <w:p w14:paraId="07FCCAAE" w14:textId="156FFDD1" w:rsidR="00045C5D" w:rsidRPr="00944F24" w:rsidRDefault="007D2738" w:rsidP="00263879">
      <w:pPr>
        <w:spacing w:after="0" w:line="480" w:lineRule="auto"/>
        <w:rPr>
          <w:rFonts w:asciiTheme="majorHAnsi" w:hAnsiTheme="majorHAnsi"/>
          <w:lang w:val="en-GB"/>
        </w:rPr>
      </w:pPr>
      <w:r w:rsidRPr="00944F24">
        <w:rPr>
          <w:rFonts w:asciiTheme="majorHAnsi" w:hAnsiTheme="majorHAnsi"/>
          <w:color w:val="333333"/>
          <w:spacing w:val="2"/>
          <w:shd w:val="clear" w:color="auto" w:fill="FCFCFC"/>
          <w:lang w:val="en-GB"/>
        </w:rPr>
        <w:lastRenderedPageBreak/>
        <w:t xml:space="preserve">11 </w:t>
      </w:r>
      <w:r w:rsidR="00045C5D" w:rsidRPr="00944F24">
        <w:rPr>
          <w:rFonts w:asciiTheme="majorHAnsi" w:hAnsiTheme="majorHAnsi"/>
          <w:color w:val="333333"/>
          <w:spacing w:val="2"/>
          <w:shd w:val="clear" w:color="auto" w:fill="FCFCFC"/>
          <w:lang w:val="en-GB"/>
        </w:rPr>
        <w:t xml:space="preserve">Christensen LH, Nielsen JB, </w:t>
      </w:r>
      <w:proofErr w:type="spellStart"/>
      <w:r w:rsidR="00045C5D" w:rsidRPr="00944F24">
        <w:rPr>
          <w:rFonts w:asciiTheme="majorHAnsi" w:hAnsiTheme="majorHAnsi"/>
          <w:color w:val="333333"/>
          <w:spacing w:val="2"/>
          <w:shd w:val="clear" w:color="auto" w:fill="FCFCFC"/>
          <w:lang w:val="en-GB"/>
        </w:rPr>
        <w:t>Mouritsen</w:t>
      </w:r>
      <w:proofErr w:type="spellEnd"/>
      <w:r w:rsidR="00045C5D" w:rsidRPr="00944F24">
        <w:rPr>
          <w:rFonts w:asciiTheme="majorHAnsi" w:hAnsiTheme="majorHAnsi"/>
          <w:color w:val="333333"/>
          <w:spacing w:val="2"/>
          <w:shd w:val="clear" w:color="auto" w:fill="FCFCFC"/>
          <w:lang w:val="en-GB"/>
        </w:rPr>
        <w:t xml:space="preserve"> L, Sorensen M, Lose G (2008) Tissue integration of polyacrylamide hydrogel: an experimental study of </w:t>
      </w:r>
      <w:proofErr w:type="spellStart"/>
      <w:r w:rsidR="00045C5D" w:rsidRPr="00944F24">
        <w:rPr>
          <w:rFonts w:asciiTheme="majorHAnsi" w:hAnsiTheme="majorHAnsi"/>
          <w:color w:val="333333"/>
          <w:spacing w:val="2"/>
          <w:shd w:val="clear" w:color="auto" w:fill="FCFCFC"/>
          <w:lang w:val="en-GB"/>
        </w:rPr>
        <w:t>periurethral</w:t>
      </w:r>
      <w:proofErr w:type="spellEnd"/>
      <w:r w:rsidR="00045C5D" w:rsidRPr="00944F24">
        <w:rPr>
          <w:rFonts w:asciiTheme="majorHAnsi" w:hAnsiTheme="majorHAnsi"/>
          <w:color w:val="333333"/>
          <w:spacing w:val="2"/>
          <w:shd w:val="clear" w:color="auto" w:fill="FCFCFC"/>
          <w:lang w:val="en-GB"/>
        </w:rPr>
        <w:t xml:space="preserve">, </w:t>
      </w:r>
      <w:proofErr w:type="spellStart"/>
      <w:r w:rsidR="00045C5D" w:rsidRPr="00944F24">
        <w:rPr>
          <w:rFonts w:asciiTheme="majorHAnsi" w:hAnsiTheme="majorHAnsi"/>
          <w:color w:val="333333"/>
          <w:spacing w:val="2"/>
          <w:shd w:val="clear" w:color="auto" w:fill="FCFCFC"/>
          <w:lang w:val="en-GB"/>
        </w:rPr>
        <w:t>perivesical</w:t>
      </w:r>
      <w:proofErr w:type="spellEnd"/>
      <w:r w:rsidR="00045C5D" w:rsidRPr="00944F24">
        <w:rPr>
          <w:rFonts w:asciiTheme="majorHAnsi" w:hAnsiTheme="majorHAnsi"/>
          <w:color w:val="333333"/>
          <w:spacing w:val="2"/>
          <w:shd w:val="clear" w:color="auto" w:fill="FCFCFC"/>
          <w:lang w:val="en-GB"/>
        </w:rPr>
        <w:t xml:space="preserve">, and mammary gland tissue in the pig. Dermatol </w:t>
      </w:r>
      <w:proofErr w:type="spellStart"/>
      <w:r w:rsidR="00045C5D" w:rsidRPr="00944F24">
        <w:rPr>
          <w:rFonts w:asciiTheme="majorHAnsi" w:hAnsiTheme="majorHAnsi"/>
          <w:color w:val="333333"/>
          <w:spacing w:val="2"/>
          <w:shd w:val="clear" w:color="auto" w:fill="FCFCFC"/>
          <w:lang w:val="en-GB"/>
        </w:rPr>
        <w:t>Surg</w:t>
      </w:r>
      <w:proofErr w:type="spellEnd"/>
      <w:r w:rsidR="00045C5D" w:rsidRPr="00944F24">
        <w:rPr>
          <w:rFonts w:asciiTheme="majorHAnsi" w:hAnsiTheme="majorHAnsi"/>
          <w:color w:val="333333"/>
          <w:spacing w:val="2"/>
          <w:shd w:val="clear" w:color="auto" w:fill="FCFCFC"/>
          <w:lang w:val="en-GB"/>
        </w:rPr>
        <w:t xml:space="preserve"> 34(</w:t>
      </w:r>
      <w:proofErr w:type="spellStart"/>
      <w:r w:rsidR="00045C5D" w:rsidRPr="00944F24">
        <w:rPr>
          <w:rFonts w:asciiTheme="majorHAnsi" w:hAnsiTheme="majorHAnsi"/>
          <w:color w:val="333333"/>
          <w:spacing w:val="2"/>
          <w:shd w:val="clear" w:color="auto" w:fill="FCFCFC"/>
          <w:lang w:val="en-GB"/>
        </w:rPr>
        <w:t>Suppl</w:t>
      </w:r>
      <w:proofErr w:type="spellEnd"/>
      <w:r w:rsidR="00045C5D" w:rsidRPr="00944F24">
        <w:rPr>
          <w:rFonts w:asciiTheme="majorHAnsi" w:hAnsiTheme="majorHAnsi"/>
          <w:color w:val="333333"/>
          <w:spacing w:val="2"/>
          <w:shd w:val="clear" w:color="auto" w:fill="FCFCFC"/>
          <w:lang w:val="en-GB"/>
        </w:rPr>
        <w:t xml:space="preserve"> 1):S68–S77</w:t>
      </w:r>
    </w:p>
    <w:p w14:paraId="29089D30" w14:textId="2CE0B84A" w:rsidR="007D2738" w:rsidRPr="00263A8D" w:rsidRDefault="007D2738" w:rsidP="00EA2A1D">
      <w:pPr>
        <w:spacing w:after="0" w:line="480" w:lineRule="auto"/>
        <w:rPr>
          <w:rFonts w:asciiTheme="majorHAnsi" w:hAnsiTheme="majorHAnsi"/>
          <w:lang w:val="en-US"/>
        </w:rPr>
      </w:pPr>
      <w:r w:rsidRPr="001A1B64">
        <w:rPr>
          <w:rFonts w:asciiTheme="majorHAnsi" w:hAnsiTheme="majorHAnsi"/>
        </w:rPr>
        <w:t xml:space="preserve">12 Christensen, L., </w:t>
      </w:r>
      <w:proofErr w:type="spellStart"/>
      <w:r w:rsidRPr="001A1B64">
        <w:rPr>
          <w:rFonts w:asciiTheme="majorHAnsi" w:hAnsiTheme="majorHAnsi"/>
        </w:rPr>
        <w:t>Camitz</w:t>
      </w:r>
      <w:proofErr w:type="spellEnd"/>
      <w:r w:rsidRPr="001A1B64">
        <w:rPr>
          <w:rFonts w:asciiTheme="majorHAnsi" w:hAnsiTheme="majorHAnsi"/>
        </w:rPr>
        <w:t xml:space="preserve">, L., </w:t>
      </w:r>
      <w:proofErr w:type="spellStart"/>
      <w:r w:rsidRPr="001A1B64">
        <w:rPr>
          <w:rFonts w:asciiTheme="majorHAnsi" w:hAnsiTheme="majorHAnsi"/>
        </w:rPr>
        <w:t>Illigen</w:t>
      </w:r>
      <w:proofErr w:type="spellEnd"/>
      <w:r w:rsidRPr="001A1B64">
        <w:rPr>
          <w:rFonts w:asciiTheme="majorHAnsi" w:hAnsiTheme="majorHAnsi"/>
        </w:rPr>
        <w:t xml:space="preserve">, K., Hansen, M., </w:t>
      </w:r>
      <w:proofErr w:type="spellStart"/>
      <w:r w:rsidRPr="001A1B64">
        <w:rPr>
          <w:rFonts w:asciiTheme="majorHAnsi" w:hAnsiTheme="majorHAnsi"/>
        </w:rPr>
        <w:t>Sarvaa</w:t>
      </w:r>
      <w:proofErr w:type="spellEnd"/>
      <w:r w:rsidRPr="001A1B64">
        <w:rPr>
          <w:rFonts w:asciiTheme="majorHAnsi" w:hAnsiTheme="majorHAnsi"/>
        </w:rPr>
        <w:t xml:space="preserve">, R., &amp; </w:t>
      </w:r>
      <w:proofErr w:type="spellStart"/>
      <w:r w:rsidRPr="001A1B64">
        <w:rPr>
          <w:rFonts w:asciiTheme="majorHAnsi" w:hAnsiTheme="majorHAnsi"/>
        </w:rPr>
        <w:t>Conaghan</w:t>
      </w:r>
      <w:proofErr w:type="spellEnd"/>
      <w:r w:rsidRPr="001A1B64">
        <w:rPr>
          <w:rFonts w:asciiTheme="majorHAnsi" w:hAnsiTheme="majorHAnsi"/>
        </w:rPr>
        <w:t xml:space="preserve">, P. (2016). </w:t>
      </w:r>
      <w:r w:rsidRPr="00944F24">
        <w:rPr>
          <w:rFonts w:asciiTheme="majorHAnsi" w:hAnsiTheme="majorHAnsi"/>
          <w:lang w:val="en-GB"/>
        </w:rPr>
        <w:t>Synovial incorporation of polyacrylamide hydrogel after injection into normal and osteoarthritic animal joints, 1999–4584.</w:t>
      </w:r>
      <w:r w:rsidR="005E5EDC">
        <w:rPr>
          <w:rFonts w:asciiTheme="majorHAnsi" w:hAnsiTheme="majorHAnsi"/>
          <w:lang w:val="en-GB"/>
        </w:rPr>
        <w:t xml:space="preserve"> </w:t>
      </w:r>
      <w:r w:rsidR="005E5EDC" w:rsidRPr="00263A8D">
        <w:rPr>
          <w:rFonts w:asciiTheme="majorHAnsi" w:hAnsiTheme="majorHAnsi"/>
          <w:lang w:val="en-US"/>
        </w:rPr>
        <w:t>-</w:t>
      </w:r>
      <w:r w:rsidR="005E5EDC" w:rsidRPr="00263A8D">
        <w:rPr>
          <w:lang w:val="en-US"/>
        </w:rPr>
        <w:t xml:space="preserve"> OAC: </w:t>
      </w:r>
      <w:r w:rsidR="005E5EDC" w:rsidRPr="00263A8D">
        <w:rPr>
          <w:rFonts w:ascii="Times New Roman" w:eastAsia="Times New Roman" w:hAnsi="Times New Roman" w:cs="Times New Roman"/>
          <w:sz w:val="24"/>
          <w:szCs w:val="24"/>
          <w:lang w:val="en-US" w:eastAsia="da-DK"/>
        </w:rPr>
        <w:t>27485850</w:t>
      </w:r>
    </w:p>
    <w:p w14:paraId="20F78EA9" w14:textId="2628FF79" w:rsidR="00616BBD" w:rsidRPr="00881E77" w:rsidRDefault="007D2738" w:rsidP="00560E34">
      <w:pPr>
        <w:spacing w:line="480" w:lineRule="auto"/>
        <w:rPr>
          <w:rStyle w:val="refpages"/>
          <w:rFonts w:asciiTheme="majorHAnsi" w:hAnsiTheme="majorHAnsi"/>
          <w:color w:val="333333"/>
          <w:shd w:val="clear" w:color="auto" w:fill="FFFFFF"/>
          <w:lang w:val="en-GB"/>
        </w:rPr>
      </w:pPr>
      <w:r w:rsidRPr="00881E77">
        <w:t xml:space="preserve">13 </w:t>
      </w:r>
      <w:r w:rsidRPr="00881E77">
        <w:rPr>
          <w:rStyle w:val="refauthors"/>
          <w:rFonts w:asciiTheme="majorHAnsi" w:hAnsiTheme="majorHAnsi"/>
          <w:color w:val="333333"/>
          <w:shd w:val="clear" w:color="auto" w:fill="FFFFFF"/>
        </w:rPr>
        <w:t>Tnibar, A., Schougaard, H., Camitz, L., Rasmussen, J., Koene, M., Jahn, W. et al. </w:t>
      </w:r>
      <w:r w:rsidRPr="00944F24">
        <w:rPr>
          <w:rStyle w:val="reftitle"/>
          <w:rFonts w:asciiTheme="majorHAnsi" w:hAnsiTheme="majorHAnsi"/>
          <w:bCs/>
          <w:color w:val="333333"/>
          <w:shd w:val="clear" w:color="auto" w:fill="FFFFFF"/>
          <w:lang w:val="en-GB"/>
        </w:rPr>
        <w:t xml:space="preserve">An international multi-centre prospective study on the efficacy of an intraarticular polyacrylamide hydrogel in horses with </w:t>
      </w:r>
      <w:r w:rsidRPr="00605BF3">
        <w:rPr>
          <w:rStyle w:val="reftitle"/>
          <w:rFonts w:asciiTheme="majorHAnsi" w:hAnsiTheme="majorHAnsi"/>
          <w:bCs/>
          <w:color w:val="333333"/>
          <w:shd w:val="clear" w:color="auto" w:fill="FFFFFF"/>
          <w:lang w:val="en-GB"/>
        </w:rPr>
        <w:t>osteoarthritis: a 24 months follow-up. </w:t>
      </w:r>
      <w:r w:rsidRPr="00881E77">
        <w:rPr>
          <w:rStyle w:val="refcomment"/>
          <w:rFonts w:asciiTheme="majorHAnsi" w:hAnsiTheme="majorHAnsi"/>
          <w:color w:val="333333"/>
          <w:shd w:val="clear" w:color="auto" w:fill="FFFFFF"/>
          <w:lang w:val="en-GB"/>
        </w:rPr>
        <w:t>(8 pp)</w:t>
      </w:r>
      <w:r w:rsidRPr="00881E77">
        <w:rPr>
          <w:rStyle w:val="refseriestitle"/>
          <w:rFonts w:asciiTheme="majorHAnsi" w:hAnsiTheme="majorHAnsi"/>
          <w:iCs/>
          <w:color w:val="333333"/>
          <w:shd w:val="clear" w:color="auto" w:fill="FFFFFF"/>
          <w:lang w:val="en-GB"/>
        </w:rPr>
        <w:t>Acta Vet Scand</w:t>
      </w:r>
      <w:r w:rsidRPr="00881E77">
        <w:rPr>
          <w:shd w:val="clear" w:color="auto" w:fill="FFFFFF"/>
          <w:lang w:val="en-GB"/>
        </w:rPr>
        <w:t>. </w:t>
      </w:r>
      <w:r w:rsidRPr="00605BF3">
        <w:rPr>
          <w:rStyle w:val="refseriesdate"/>
          <w:rFonts w:asciiTheme="majorHAnsi" w:hAnsiTheme="majorHAnsi"/>
          <w:color w:val="333333"/>
          <w:shd w:val="clear" w:color="auto" w:fill="FFFFFF"/>
          <w:lang w:val="en-GB"/>
        </w:rPr>
        <w:t>2015</w:t>
      </w:r>
      <w:r w:rsidRPr="00881E77">
        <w:rPr>
          <w:shd w:val="clear" w:color="auto" w:fill="FFFFFF"/>
          <w:lang w:val="en-GB"/>
        </w:rPr>
        <w:t>; </w:t>
      </w:r>
      <w:r w:rsidRPr="00605BF3">
        <w:rPr>
          <w:rStyle w:val="refseriesvolume"/>
          <w:rFonts w:asciiTheme="majorHAnsi" w:hAnsiTheme="majorHAnsi"/>
          <w:color w:val="333333"/>
          <w:shd w:val="clear" w:color="auto" w:fill="FFFFFF"/>
          <w:lang w:val="en-GB"/>
        </w:rPr>
        <w:t>57</w:t>
      </w:r>
      <w:r w:rsidRPr="00881E77">
        <w:rPr>
          <w:shd w:val="clear" w:color="auto" w:fill="FFFFFF"/>
          <w:lang w:val="en-GB"/>
        </w:rPr>
        <w:t>: </w:t>
      </w:r>
      <w:r w:rsidRPr="00605BF3">
        <w:rPr>
          <w:rStyle w:val="refpages"/>
          <w:rFonts w:asciiTheme="majorHAnsi" w:hAnsiTheme="majorHAnsi"/>
          <w:color w:val="333333"/>
          <w:shd w:val="clear" w:color="auto" w:fill="FFFFFF"/>
          <w:lang w:val="en-GB"/>
        </w:rPr>
        <w:t>20</w:t>
      </w:r>
    </w:p>
    <w:p w14:paraId="788AD013" w14:textId="0BD6E750" w:rsidR="00605BF3" w:rsidRPr="00881E77" w:rsidRDefault="00605BF3" w:rsidP="00560E34">
      <w:pPr>
        <w:spacing w:line="480" w:lineRule="auto"/>
        <w:rPr>
          <w:lang w:val="en-US" w:eastAsia="da-DK"/>
        </w:rPr>
      </w:pPr>
      <w:r w:rsidRPr="00881E77">
        <w:rPr>
          <w:lang w:val="en-US" w:eastAsia="da-DK"/>
        </w:rPr>
        <w:t>14 Huskisson, E. C., &amp; Donnelly, S. (1999). Hyaluronic acid in the treatment of osteoarthritis of the knee. Rheumatology (Oxford, England), 38(7), 602–607.</w:t>
      </w:r>
    </w:p>
    <w:p w14:paraId="68A2E58F" w14:textId="1D2CE708" w:rsidR="00881E77" w:rsidRPr="00881E77" w:rsidRDefault="00881E77" w:rsidP="00263A8D">
      <w:pPr>
        <w:spacing w:line="480" w:lineRule="auto"/>
        <w:rPr>
          <w:rFonts w:cs="Arial"/>
          <w:color w:val="222222"/>
          <w:lang w:val="en-US"/>
        </w:rPr>
      </w:pPr>
      <w:r w:rsidRPr="00881E77">
        <w:rPr>
          <w:lang w:val="en-GB"/>
        </w:rPr>
        <w:t xml:space="preserve">15 </w:t>
      </w:r>
      <w:r w:rsidR="00263A8D" w:rsidRPr="00263A8D">
        <w:rPr>
          <w:lang w:val="en-GB"/>
        </w:rPr>
        <w:t xml:space="preserve">Puttick </w:t>
      </w:r>
      <w:proofErr w:type="gramStart"/>
      <w:r w:rsidR="00263A8D" w:rsidRPr="00263A8D">
        <w:rPr>
          <w:lang w:val="en-GB"/>
        </w:rPr>
        <w:t>MP ,</w:t>
      </w:r>
      <w:proofErr w:type="gramEnd"/>
      <w:r w:rsidR="00263A8D" w:rsidRPr="00263A8D">
        <w:rPr>
          <w:lang w:val="en-GB"/>
        </w:rPr>
        <w:t xml:space="preserve">  Wade JP ,  Chalmer</w:t>
      </w:r>
      <w:r w:rsidR="00263A8D">
        <w:rPr>
          <w:lang w:val="en-GB"/>
        </w:rPr>
        <w:t xml:space="preserve">s A ,  Connell DG ,  </w:t>
      </w:r>
      <w:proofErr w:type="spellStart"/>
      <w:r w:rsidR="00263A8D">
        <w:rPr>
          <w:lang w:val="en-GB"/>
        </w:rPr>
        <w:t>Rangno</w:t>
      </w:r>
      <w:proofErr w:type="spellEnd"/>
      <w:r w:rsidR="00263A8D">
        <w:rPr>
          <w:lang w:val="en-GB"/>
        </w:rPr>
        <w:t xml:space="preserve"> KK. </w:t>
      </w:r>
      <w:r w:rsidR="00263A8D" w:rsidRPr="00263A8D">
        <w:rPr>
          <w:lang w:val="en-GB"/>
        </w:rPr>
        <w:t xml:space="preserve">Acute local reactions after intraarticular </w:t>
      </w:r>
      <w:proofErr w:type="spellStart"/>
      <w:r w:rsidR="00263A8D" w:rsidRPr="00263A8D">
        <w:rPr>
          <w:lang w:val="en-GB"/>
        </w:rPr>
        <w:t>hylan</w:t>
      </w:r>
      <w:proofErr w:type="spellEnd"/>
      <w:r w:rsidR="00263A8D" w:rsidRPr="00263A8D">
        <w:rPr>
          <w:lang w:val="en-GB"/>
        </w:rPr>
        <w:t xml:space="preserve"> for osteoarthritis of the knee.</w:t>
      </w:r>
      <w:r w:rsidR="00263A8D">
        <w:rPr>
          <w:lang w:val="en-GB"/>
        </w:rPr>
        <w:t xml:space="preserve"> </w:t>
      </w:r>
      <w:r w:rsidR="00263A8D" w:rsidRPr="00263A8D">
        <w:rPr>
          <w:lang w:val="en-GB"/>
        </w:rPr>
        <w:t>The Journal of Rheumatology [01 Jul 1995, 22(7):1311-1314]</w:t>
      </w:r>
    </w:p>
    <w:p w14:paraId="45FFFEC0" w14:textId="1FF0060B" w:rsidR="005E5EDC" w:rsidRPr="00C70D77" w:rsidRDefault="005E5EDC" w:rsidP="00560E34">
      <w:pPr>
        <w:pStyle w:val="NormalWeb"/>
        <w:spacing w:line="480" w:lineRule="auto"/>
        <w:ind w:left="480" w:hanging="480"/>
        <w:rPr>
          <w:lang w:val="en-US"/>
        </w:rPr>
      </w:pPr>
      <w:r>
        <w:rPr>
          <w:lang w:val="en-US"/>
        </w:rPr>
        <w:t xml:space="preserve">16 </w:t>
      </w:r>
      <w:proofErr w:type="spellStart"/>
      <w:r w:rsidRPr="00560E34">
        <w:rPr>
          <w:lang w:val="en-US"/>
        </w:rPr>
        <w:t>Jaeschke</w:t>
      </w:r>
      <w:proofErr w:type="spellEnd"/>
      <w:r w:rsidRPr="00560E34">
        <w:rPr>
          <w:lang w:val="en-US"/>
        </w:rPr>
        <w:t xml:space="preserve">, R., Singer, J., &amp; </w:t>
      </w:r>
      <w:proofErr w:type="spellStart"/>
      <w:r w:rsidRPr="00560E34">
        <w:rPr>
          <w:lang w:val="en-US"/>
        </w:rPr>
        <w:t>Guyatt</w:t>
      </w:r>
      <w:proofErr w:type="spellEnd"/>
      <w:r w:rsidRPr="00560E34">
        <w:rPr>
          <w:lang w:val="en-US"/>
        </w:rPr>
        <w:t xml:space="preserve">, G. H. (1989). Measurement of health status. </w:t>
      </w:r>
      <w:r w:rsidRPr="00C70D77">
        <w:rPr>
          <w:i/>
          <w:iCs/>
          <w:lang w:val="en-US"/>
        </w:rPr>
        <w:t>Controlled Clinical Trials</w:t>
      </w:r>
      <w:r w:rsidRPr="00C70D77">
        <w:rPr>
          <w:lang w:val="en-US"/>
        </w:rPr>
        <w:t xml:space="preserve">, </w:t>
      </w:r>
      <w:r w:rsidRPr="00C70D77">
        <w:rPr>
          <w:i/>
          <w:iCs/>
          <w:lang w:val="en-US"/>
        </w:rPr>
        <w:t>10</w:t>
      </w:r>
      <w:r w:rsidRPr="00C70D77">
        <w:rPr>
          <w:lang w:val="en-US"/>
        </w:rPr>
        <w:t xml:space="preserve">(4), 407–415. </w:t>
      </w:r>
    </w:p>
    <w:p w14:paraId="36D836E8" w14:textId="3D28FDF1" w:rsidR="00881E77" w:rsidRDefault="00881E77" w:rsidP="00881E77">
      <w:pPr>
        <w:rPr>
          <w:rFonts w:asciiTheme="majorHAnsi" w:hAnsiTheme="majorHAnsi" w:cs="Arial"/>
          <w:color w:val="006621"/>
          <w:lang w:val="en-US" w:eastAsia="da-DK"/>
        </w:rPr>
      </w:pPr>
    </w:p>
    <w:p w14:paraId="185A898A" w14:textId="77777777" w:rsidR="005E5EDC" w:rsidRDefault="005E5EDC" w:rsidP="00881E77">
      <w:pPr>
        <w:rPr>
          <w:rFonts w:asciiTheme="majorHAnsi" w:hAnsiTheme="majorHAnsi" w:cs="Arial"/>
          <w:color w:val="006621"/>
          <w:lang w:val="en-US" w:eastAsia="da-DK"/>
        </w:rPr>
      </w:pPr>
    </w:p>
    <w:p w14:paraId="645B3E82" w14:textId="77777777" w:rsidR="005E5EDC" w:rsidRPr="00881E77" w:rsidRDefault="005E5EDC" w:rsidP="00881E77">
      <w:pPr>
        <w:rPr>
          <w:rFonts w:asciiTheme="majorHAnsi" w:hAnsiTheme="majorHAnsi" w:cs="Arial"/>
          <w:color w:val="006621"/>
          <w:lang w:val="en-US" w:eastAsia="da-DK"/>
        </w:rPr>
      </w:pPr>
    </w:p>
    <w:p w14:paraId="7F4C4EE0" w14:textId="20BE1DA0" w:rsidR="00DF5C30" w:rsidRDefault="00DF5C30">
      <w:pPr>
        <w:rPr>
          <w:rFonts w:asciiTheme="majorHAnsi" w:hAnsiTheme="majorHAnsi"/>
          <w:lang w:val="en-GB"/>
        </w:rPr>
      </w:pPr>
      <w:r>
        <w:rPr>
          <w:rFonts w:asciiTheme="majorHAnsi" w:hAnsiTheme="majorHAnsi"/>
          <w:lang w:val="en-GB"/>
        </w:rPr>
        <w:br w:type="page"/>
      </w:r>
    </w:p>
    <w:p w14:paraId="5428A64F" w14:textId="77777777" w:rsidR="00616BBD" w:rsidRPr="00944F24" w:rsidRDefault="00616BBD" w:rsidP="00560E34">
      <w:pPr>
        <w:pStyle w:val="Overskrift2"/>
        <w:rPr>
          <w:lang w:val="en-GB"/>
        </w:rPr>
      </w:pPr>
      <w:r w:rsidRPr="00944F24">
        <w:rPr>
          <w:lang w:val="en-GB"/>
        </w:rPr>
        <w:lastRenderedPageBreak/>
        <w:t xml:space="preserve">Appendix </w:t>
      </w:r>
    </w:p>
    <w:tbl>
      <w:tblPr>
        <w:tblStyle w:val="Tabel-Klassisk1"/>
        <w:tblW w:w="0" w:type="auto"/>
        <w:tblLook w:val="04A0" w:firstRow="1" w:lastRow="0" w:firstColumn="1" w:lastColumn="0" w:noHBand="0" w:noVBand="1"/>
      </w:tblPr>
      <w:tblGrid>
        <w:gridCol w:w="1629"/>
        <w:gridCol w:w="1629"/>
        <w:gridCol w:w="1630"/>
      </w:tblGrid>
      <w:tr w:rsidR="00657187" w:rsidRPr="001A1B64" w14:paraId="0EE0368D" w14:textId="77777777" w:rsidTr="0039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00D2F37C" w14:textId="4DEA9EAA" w:rsidR="00657187" w:rsidRPr="00944F24" w:rsidRDefault="001E090A" w:rsidP="00881E77">
            <w:pPr>
              <w:spacing w:line="480" w:lineRule="auto"/>
            </w:pPr>
            <w:r w:rsidRPr="00944F24">
              <w:t xml:space="preserve">Demographics </w:t>
            </w:r>
          </w:p>
        </w:tc>
        <w:tc>
          <w:tcPr>
            <w:tcW w:w="1629" w:type="dxa"/>
          </w:tcPr>
          <w:p w14:paraId="37D38F86" w14:textId="20A299C7" w:rsidR="00657187" w:rsidRPr="00944F24" w:rsidRDefault="00657187" w:rsidP="00881E77">
            <w:pPr>
              <w:spacing w:line="480" w:lineRule="auto"/>
              <w:cnfStyle w:val="100000000000" w:firstRow="1" w:lastRow="0" w:firstColumn="0" w:lastColumn="0" w:oddVBand="0" w:evenVBand="0" w:oddHBand="0" w:evenHBand="0" w:firstRowFirstColumn="0" w:firstRowLastColumn="0" w:lastRowFirstColumn="0" w:lastRowLastColumn="0"/>
            </w:pPr>
            <w:r w:rsidRPr="00944F24">
              <w:t>Tele</w:t>
            </w:r>
            <w:r w:rsidR="003058E3" w:rsidRPr="00944F24">
              <w:t>ph</w:t>
            </w:r>
            <w:r w:rsidRPr="00944F24">
              <w:t xml:space="preserve">one </w:t>
            </w:r>
          </w:p>
        </w:tc>
        <w:tc>
          <w:tcPr>
            <w:tcW w:w="1630" w:type="dxa"/>
          </w:tcPr>
          <w:p w14:paraId="4A35D95A" w14:textId="77777777" w:rsidR="00657187" w:rsidRPr="00944F24" w:rsidRDefault="00657187" w:rsidP="00881E77">
            <w:pPr>
              <w:spacing w:line="480" w:lineRule="auto"/>
              <w:cnfStyle w:val="100000000000" w:firstRow="1" w:lastRow="0" w:firstColumn="0" w:lastColumn="0" w:oddVBand="0" w:evenVBand="0" w:oddHBand="0" w:evenHBand="0" w:firstRowFirstColumn="0" w:firstRowLastColumn="0" w:lastRowFirstColumn="0" w:lastRowLastColumn="0"/>
            </w:pPr>
            <w:r w:rsidRPr="00944F24">
              <w:t>Seen at the outpatient-clinic</w:t>
            </w:r>
          </w:p>
        </w:tc>
      </w:tr>
      <w:tr w:rsidR="00657187" w:rsidRPr="00881E77" w14:paraId="52D7A3DD" w14:textId="77777777" w:rsidTr="00395B79">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000000"/>
              <w:bottom w:val="single" w:sz="6" w:space="0" w:color="000000"/>
            </w:tcBorders>
          </w:tcPr>
          <w:p w14:paraId="4A99856E" w14:textId="77777777" w:rsidR="00657187" w:rsidRPr="00944F24" w:rsidRDefault="00657187" w:rsidP="00881E77">
            <w:pPr>
              <w:spacing w:line="480" w:lineRule="auto"/>
            </w:pPr>
          </w:p>
        </w:tc>
        <w:tc>
          <w:tcPr>
            <w:tcW w:w="1629" w:type="dxa"/>
            <w:tcBorders>
              <w:top w:val="single" w:sz="6" w:space="0" w:color="000000"/>
              <w:bottom w:val="single" w:sz="6" w:space="0" w:color="000000"/>
            </w:tcBorders>
          </w:tcPr>
          <w:p w14:paraId="7EA0AE5D"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Mean (SD)</w:t>
            </w:r>
          </w:p>
        </w:tc>
        <w:tc>
          <w:tcPr>
            <w:tcW w:w="1630" w:type="dxa"/>
            <w:tcBorders>
              <w:top w:val="single" w:sz="6" w:space="0" w:color="000000"/>
              <w:bottom w:val="single" w:sz="6" w:space="0" w:color="000000"/>
            </w:tcBorders>
          </w:tcPr>
          <w:p w14:paraId="754E2B14" w14:textId="4FE8218E"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Range</w:t>
            </w:r>
            <w:r w:rsidR="00B46807" w:rsidRPr="00944F24">
              <w:t xml:space="preserve"> (SD)</w:t>
            </w:r>
            <w:r w:rsidRPr="00944F24">
              <w:br/>
            </w:r>
          </w:p>
        </w:tc>
      </w:tr>
      <w:tr w:rsidR="00657187" w:rsidRPr="00881E77" w14:paraId="2EA7D970" w14:textId="77777777" w:rsidTr="00395B79">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000000"/>
            </w:tcBorders>
          </w:tcPr>
          <w:p w14:paraId="35B62A08" w14:textId="77777777" w:rsidR="00657187" w:rsidRPr="00944F24" w:rsidRDefault="00657187" w:rsidP="00881E77">
            <w:pPr>
              <w:spacing w:line="480" w:lineRule="auto"/>
            </w:pPr>
            <w:r w:rsidRPr="00944F24">
              <w:t>n</w:t>
            </w:r>
          </w:p>
        </w:tc>
        <w:tc>
          <w:tcPr>
            <w:tcW w:w="1629" w:type="dxa"/>
            <w:tcBorders>
              <w:top w:val="single" w:sz="6" w:space="0" w:color="000000"/>
            </w:tcBorders>
          </w:tcPr>
          <w:p w14:paraId="28773918"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17</w:t>
            </w:r>
          </w:p>
        </w:tc>
        <w:tc>
          <w:tcPr>
            <w:tcW w:w="1630" w:type="dxa"/>
            <w:tcBorders>
              <w:top w:val="single" w:sz="6" w:space="0" w:color="000000"/>
            </w:tcBorders>
          </w:tcPr>
          <w:p w14:paraId="00D60C70"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74</w:t>
            </w:r>
          </w:p>
        </w:tc>
      </w:tr>
      <w:tr w:rsidR="00657187" w:rsidRPr="00881E77" w14:paraId="597CEA69" w14:textId="77777777" w:rsidTr="00395B79">
        <w:tc>
          <w:tcPr>
            <w:cnfStyle w:val="001000000000" w:firstRow="0" w:lastRow="0" w:firstColumn="1" w:lastColumn="0" w:oddVBand="0" w:evenVBand="0" w:oddHBand="0" w:evenHBand="0" w:firstRowFirstColumn="0" w:firstRowLastColumn="0" w:lastRowFirstColumn="0" w:lastRowLastColumn="0"/>
            <w:tcW w:w="1629" w:type="dxa"/>
          </w:tcPr>
          <w:p w14:paraId="784D72BB" w14:textId="77777777" w:rsidR="00657187" w:rsidRPr="00944F24" w:rsidRDefault="00657187" w:rsidP="00881E77">
            <w:pPr>
              <w:spacing w:line="480" w:lineRule="auto"/>
            </w:pPr>
            <w:r w:rsidRPr="00944F24">
              <w:t>Age, years</w:t>
            </w:r>
          </w:p>
        </w:tc>
        <w:tc>
          <w:tcPr>
            <w:tcW w:w="1629" w:type="dxa"/>
          </w:tcPr>
          <w:p w14:paraId="4E375B7E"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73 (12)</w:t>
            </w:r>
          </w:p>
        </w:tc>
        <w:tc>
          <w:tcPr>
            <w:tcW w:w="1630" w:type="dxa"/>
          </w:tcPr>
          <w:p w14:paraId="3CBDD40E"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70 (10)</w:t>
            </w:r>
          </w:p>
        </w:tc>
      </w:tr>
      <w:tr w:rsidR="00657187" w:rsidRPr="00944F24" w14:paraId="2FE6C291" w14:textId="77777777" w:rsidTr="00395B79">
        <w:tc>
          <w:tcPr>
            <w:cnfStyle w:val="001000000000" w:firstRow="0" w:lastRow="0" w:firstColumn="1" w:lastColumn="0" w:oddVBand="0" w:evenVBand="0" w:oddHBand="0" w:evenHBand="0" w:firstRowFirstColumn="0" w:firstRowLastColumn="0" w:lastRowFirstColumn="0" w:lastRowLastColumn="0"/>
            <w:tcW w:w="1629" w:type="dxa"/>
          </w:tcPr>
          <w:p w14:paraId="2839A95E" w14:textId="55DA4FC9" w:rsidR="00657187" w:rsidRPr="00944F24" w:rsidRDefault="00657187" w:rsidP="00807B12">
            <w:pPr>
              <w:spacing w:line="480" w:lineRule="auto"/>
            </w:pPr>
            <w:r w:rsidRPr="00944F24">
              <w:t xml:space="preserve">Gender (female), n </w:t>
            </w:r>
          </w:p>
        </w:tc>
        <w:tc>
          <w:tcPr>
            <w:tcW w:w="1629" w:type="dxa"/>
          </w:tcPr>
          <w:p w14:paraId="47235237" w14:textId="3333C449" w:rsidR="00657187" w:rsidRPr="00944F24" w:rsidRDefault="001E090A" w:rsidP="00DC4267">
            <w:pPr>
              <w:spacing w:line="480" w:lineRule="auto"/>
              <w:cnfStyle w:val="000000000000" w:firstRow="0" w:lastRow="0" w:firstColumn="0" w:lastColumn="0" w:oddVBand="0" w:evenVBand="0" w:oddHBand="0" w:evenHBand="0" w:firstRowFirstColumn="0" w:firstRowLastColumn="0" w:lastRowFirstColumn="0" w:lastRowLastColumn="0"/>
            </w:pPr>
            <w:r w:rsidRPr="00944F24">
              <w:t xml:space="preserve">11 </w:t>
            </w:r>
          </w:p>
        </w:tc>
        <w:tc>
          <w:tcPr>
            <w:tcW w:w="1630" w:type="dxa"/>
          </w:tcPr>
          <w:p w14:paraId="3115E45E" w14:textId="5DF598FF" w:rsidR="00657187" w:rsidRPr="00944F24" w:rsidRDefault="001E090A" w:rsidP="00DC4267">
            <w:pPr>
              <w:spacing w:line="480" w:lineRule="auto"/>
              <w:cnfStyle w:val="000000000000" w:firstRow="0" w:lastRow="0" w:firstColumn="0" w:lastColumn="0" w:oddVBand="0" w:evenVBand="0" w:oddHBand="0" w:evenHBand="0" w:firstRowFirstColumn="0" w:firstRowLastColumn="0" w:lastRowFirstColumn="0" w:lastRowLastColumn="0"/>
            </w:pPr>
            <w:r w:rsidRPr="00944F24">
              <w:t xml:space="preserve">35 </w:t>
            </w:r>
          </w:p>
        </w:tc>
      </w:tr>
      <w:tr w:rsidR="00657187" w:rsidRPr="00944F24" w14:paraId="4CC51F3D" w14:textId="77777777" w:rsidTr="00395B79">
        <w:tc>
          <w:tcPr>
            <w:cnfStyle w:val="001000000000" w:firstRow="0" w:lastRow="0" w:firstColumn="1" w:lastColumn="0" w:oddVBand="0" w:evenVBand="0" w:oddHBand="0" w:evenHBand="0" w:firstRowFirstColumn="0" w:firstRowLastColumn="0" w:lastRowFirstColumn="0" w:lastRowLastColumn="0"/>
            <w:tcW w:w="1629" w:type="dxa"/>
            <w:tcBorders>
              <w:bottom w:val="nil"/>
            </w:tcBorders>
          </w:tcPr>
          <w:p w14:paraId="42C2F50A" w14:textId="77777777" w:rsidR="00657187" w:rsidRPr="00944F24" w:rsidRDefault="00657187" w:rsidP="00881E77">
            <w:pPr>
              <w:spacing w:line="480" w:lineRule="auto"/>
            </w:pPr>
            <w:proofErr w:type="spellStart"/>
            <w:r w:rsidRPr="00944F24">
              <w:t>Followup</w:t>
            </w:r>
            <w:proofErr w:type="spellEnd"/>
            <w:r w:rsidRPr="00944F24">
              <w:t xml:space="preserve"> (months)</w:t>
            </w:r>
          </w:p>
        </w:tc>
        <w:tc>
          <w:tcPr>
            <w:tcW w:w="1629" w:type="dxa"/>
            <w:tcBorders>
              <w:bottom w:val="nil"/>
            </w:tcBorders>
          </w:tcPr>
          <w:p w14:paraId="4C3F5B98"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18 (12)</w:t>
            </w:r>
          </w:p>
        </w:tc>
        <w:tc>
          <w:tcPr>
            <w:tcW w:w="1630" w:type="dxa"/>
            <w:tcBorders>
              <w:bottom w:val="nil"/>
            </w:tcBorders>
          </w:tcPr>
          <w:p w14:paraId="35A9C3B1"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25 (19)</w:t>
            </w:r>
          </w:p>
        </w:tc>
      </w:tr>
      <w:tr w:rsidR="00657187" w:rsidRPr="00944F24" w14:paraId="4F9954E3" w14:textId="77777777" w:rsidTr="00395B79">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6" w:space="0" w:color="000000"/>
            </w:tcBorders>
          </w:tcPr>
          <w:p w14:paraId="414C3B01" w14:textId="77777777" w:rsidR="00657187" w:rsidRPr="00944F24" w:rsidRDefault="00657187" w:rsidP="00881E77">
            <w:pPr>
              <w:spacing w:line="480" w:lineRule="auto"/>
            </w:pPr>
            <w:proofErr w:type="spellStart"/>
            <w:r w:rsidRPr="00944F24">
              <w:t>Kellgren</w:t>
            </w:r>
            <w:proofErr w:type="spellEnd"/>
            <w:r w:rsidRPr="00944F24">
              <w:t>-Lawrence score, n (%) *</w:t>
            </w:r>
          </w:p>
        </w:tc>
        <w:tc>
          <w:tcPr>
            <w:tcW w:w="1629" w:type="dxa"/>
            <w:tcBorders>
              <w:top w:val="nil"/>
              <w:bottom w:val="single" w:sz="6" w:space="0" w:color="000000"/>
            </w:tcBorders>
          </w:tcPr>
          <w:p w14:paraId="24807905"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p>
        </w:tc>
        <w:tc>
          <w:tcPr>
            <w:tcW w:w="1630" w:type="dxa"/>
            <w:tcBorders>
              <w:top w:val="nil"/>
              <w:bottom w:val="single" w:sz="6" w:space="0" w:color="000000"/>
            </w:tcBorders>
          </w:tcPr>
          <w:p w14:paraId="6FAF7E9E"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1 = 3 (5%)</w:t>
            </w:r>
          </w:p>
          <w:p w14:paraId="3A997061"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2 = 15 (25%)</w:t>
            </w:r>
          </w:p>
          <w:p w14:paraId="2B79122E"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3 = 23 (38 %)</w:t>
            </w:r>
          </w:p>
          <w:p w14:paraId="5EBB397D" w14:textId="77777777" w:rsidR="00657187" w:rsidRPr="00944F24" w:rsidRDefault="00657187" w:rsidP="00881E77">
            <w:pPr>
              <w:spacing w:line="480" w:lineRule="auto"/>
              <w:cnfStyle w:val="000000000000" w:firstRow="0" w:lastRow="0" w:firstColumn="0" w:lastColumn="0" w:oddVBand="0" w:evenVBand="0" w:oddHBand="0" w:evenHBand="0" w:firstRowFirstColumn="0" w:firstRowLastColumn="0" w:lastRowFirstColumn="0" w:lastRowLastColumn="0"/>
            </w:pPr>
            <w:r w:rsidRPr="00944F24">
              <w:t>4 = 20 (33 %)</w:t>
            </w:r>
          </w:p>
        </w:tc>
      </w:tr>
      <w:tr w:rsidR="00657187" w:rsidRPr="001A1B64" w14:paraId="51CFD599" w14:textId="77777777" w:rsidTr="00395B79">
        <w:tc>
          <w:tcPr>
            <w:cnfStyle w:val="001000000000" w:firstRow="0" w:lastRow="0" w:firstColumn="1" w:lastColumn="0" w:oddVBand="0" w:evenVBand="0" w:oddHBand="0" w:evenHBand="0" w:firstRowFirstColumn="0" w:firstRowLastColumn="0" w:lastRowFirstColumn="0" w:lastRowLastColumn="0"/>
            <w:tcW w:w="4888" w:type="dxa"/>
            <w:gridSpan w:val="3"/>
            <w:tcBorders>
              <w:top w:val="single" w:sz="6" w:space="0" w:color="000000"/>
              <w:left w:val="single" w:sz="6" w:space="0" w:color="000000"/>
              <w:bottom w:val="single" w:sz="6" w:space="0" w:color="000000"/>
            </w:tcBorders>
          </w:tcPr>
          <w:p w14:paraId="485A788F" w14:textId="77777777" w:rsidR="00657187" w:rsidRPr="00944F24" w:rsidRDefault="00657187" w:rsidP="00881E77">
            <w:pPr>
              <w:spacing w:line="480" w:lineRule="auto"/>
            </w:pPr>
            <w:r w:rsidRPr="00944F24">
              <w:t>* n=61 , 13 patients had undergone surgery before follow-up</w:t>
            </w:r>
          </w:p>
        </w:tc>
      </w:tr>
    </w:tbl>
    <w:p w14:paraId="758EC2C5" w14:textId="6805E4E2" w:rsidR="00DF5C30" w:rsidRDefault="00DF5C30" w:rsidP="00881E77">
      <w:pPr>
        <w:spacing w:after="0" w:line="480" w:lineRule="auto"/>
        <w:rPr>
          <w:i/>
          <w:lang w:val="en-GB"/>
        </w:rPr>
      </w:pPr>
    </w:p>
    <w:p w14:paraId="452AA21F" w14:textId="77777777" w:rsidR="00DF5C30" w:rsidRDefault="00DF5C30">
      <w:pPr>
        <w:rPr>
          <w:i/>
          <w:lang w:val="en-GB"/>
        </w:rPr>
      </w:pPr>
      <w:r>
        <w:rPr>
          <w:i/>
          <w:lang w:val="en-GB"/>
        </w:rPr>
        <w:br w:type="page"/>
      </w:r>
    </w:p>
    <w:p w14:paraId="36811864" w14:textId="77777777" w:rsidR="00616BBD" w:rsidRPr="00944F24" w:rsidRDefault="00616BBD" w:rsidP="00881E77">
      <w:pPr>
        <w:spacing w:after="0" w:line="480" w:lineRule="auto"/>
        <w:rPr>
          <w:lang w:val="en-GB"/>
        </w:rPr>
      </w:pPr>
      <w:r w:rsidRPr="00944F24">
        <w:rPr>
          <w:b/>
          <w:lang w:val="en-GB"/>
        </w:rPr>
        <w:lastRenderedPageBreak/>
        <w:t>Figure I.</w:t>
      </w:r>
      <w:r w:rsidRPr="00944F24">
        <w:rPr>
          <w:lang w:val="en-GB"/>
        </w:rPr>
        <w:t xml:space="preserve"> Flow chart</w:t>
      </w:r>
    </w:p>
    <w:p w14:paraId="11917931" w14:textId="18F22DF4" w:rsidR="00616BBD" w:rsidRPr="00944F24" w:rsidRDefault="00AB0E4B" w:rsidP="00881E77">
      <w:pPr>
        <w:spacing w:after="0" w:line="480" w:lineRule="auto"/>
        <w:rPr>
          <w:lang w:val="en-GB"/>
        </w:rPr>
      </w:pPr>
      <w:r w:rsidRPr="00944F24">
        <w:rPr>
          <w:noProof/>
          <w:lang w:eastAsia="da-DK"/>
        </w:rPr>
        <w:drawing>
          <wp:inline distT="0" distB="0" distL="0" distR="0" wp14:anchorId="41A8553B" wp14:editId="1337BD10">
            <wp:extent cx="2962656" cy="3646158"/>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788" cy="3646321"/>
                    </a:xfrm>
                    <a:prstGeom prst="rect">
                      <a:avLst/>
                    </a:prstGeom>
                    <a:noFill/>
                  </pic:spPr>
                </pic:pic>
              </a:graphicData>
            </a:graphic>
          </wp:inline>
        </w:drawing>
      </w:r>
    </w:p>
    <w:p w14:paraId="4547B0C8" w14:textId="77777777" w:rsidR="00F24287" w:rsidRPr="00944F24" w:rsidRDefault="00F24287" w:rsidP="00881E77">
      <w:pPr>
        <w:spacing w:after="0" w:line="480" w:lineRule="auto"/>
        <w:rPr>
          <w:lang w:val="en-GB"/>
        </w:rPr>
      </w:pPr>
      <w:r w:rsidRPr="00944F24">
        <w:rPr>
          <w:b/>
          <w:lang w:val="en-GB"/>
        </w:rPr>
        <w:t>Table I</w:t>
      </w:r>
      <w:r w:rsidRPr="00944F24">
        <w:rPr>
          <w:lang w:val="en-GB"/>
        </w:rPr>
        <w:t xml:space="preserve"> Number (proportions) of patients retrospectively reporting adverse events/discomfort in relation to treatment with PAAG.</w:t>
      </w:r>
    </w:p>
    <w:p w14:paraId="6A55CD35" w14:textId="77777777" w:rsidR="00F24287" w:rsidRPr="00944F24" w:rsidRDefault="00F24287" w:rsidP="00881E77">
      <w:pPr>
        <w:spacing w:after="0" w:line="480" w:lineRule="auto"/>
        <w:rPr>
          <w:lang w:val="en-GB"/>
        </w:rPr>
      </w:pPr>
    </w:p>
    <w:tbl>
      <w:tblPr>
        <w:tblStyle w:val="Tabel-Klassisk1"/>
        <w:tblW w:w="5780" w:type="dxa"/>
        <w:jc w:val="center"/>
        <w:tblLook w:val="04A0" w:firstRow="1" w:lastRow="0" w:firstColumn="1" w:lastColumn="0" w:noHBand="0" w:noVBand="1"/>
      </w:tblPr>
      <w:tblGrid>
        <w:gridCol w:w="2709"/>
        <w:gridCol w:w="3071"/>
      </w:tblGrid>
      <w:tr w:rsidR="00F24287" w:rsidRPr="001A1B64" w14:paraId="041B0D15" w14:textId="77777777" w:rsidTr="006879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8AE6150" w14:textId="77777777" w:rsidR="00F24287" w:rsidRPr="00944F24" w:rsidRDefault="00F24287" w:rsidP="00881E77">
            <w:pPr>
              <w:spacing w:line="480" w:lineRule="auto"/>
              <w:rPr>
                <w:color w:val="000000"/>
                <w:lang w:eastAsia="da-DK"/>
              </w:rPr>
            </w:pPr>
            <w:r w:rsidRPr="00944F24">
              <w:t>Reported adverse events or discomfort</w:t>
            </w:r>
          </w:p>
        </w:tc>
        <w:tc>
          <w:tcPr>
            <w:tcW w:w="3071" w:type="dxa"/>
            <w:noWrap/>
            <w:hideMark/>
          </w:tcPr>
          <w:p w14:paraId="54D82BF4"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t>Patients describing no adverse events or discomfort</w:t>
            </w:r>
          </w:p>
        </w:tc>
      </w:tr>
      <w:tr w:rsidR="00F24287" w:rsidRPr="00944F24" w14:paraId="3CCC8CB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2709" w:type="dxa"/>
            <w:hideMark/>
          </w:tcPr>
          <w:p w14:paraId="1CD17F26" w14:textId="77777777" w:rsidR="00F24287" w:rsidRPr="00944F24" w:rsidRDefault="00F24287" w:rsidP="00881E77">
            <w:pPr>
              <w:spacing w:line="480" w:lineRule="auto"/>
              <w:rPr>
                <w:color w:val="000000"/>
                <w:lang w:eastAsia="da-DK"/>
              </w:rPr>
            </w:pPr>
            <w:r w:rsidRPr="00944F24">
              <w:rPr>
                <w:color w:val="000000"/>
                <w:lang w:eastAsia="da-DK"/>
              </w:rPr>
              <w:t>N = 25 (27%)</w:t>
            </w:r>
          </w:p>
        </w:tc>
        <w:tc>
          <w:tcPr>
            <w:tcW w:w="3071" w:type="dxa"/>
            <w:hideMark/>
          </w:tcPr>
          <w:p w14:paraId="2C07A83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N = 66 (73%)</w:t>
            </w:r>
          </w:p>
        </w:tc>
      </w:tr>
    </w:tbl>
    <w:p w14:paraId="0E3FEAD5" w14:textId="77777777" w:rsidR="00F24287" w:rsidRPr="00944F24" w:rsidRDefault="00F24287" w:rsidP="00881E77">
      <w:pPr>
        <w:spacing w:after="0" w:line="480" w:lineRule="auto"/>
        <w:rPr>
          <w:lang w:val="en-GB"/>
        </w:rPr>
      </w:pPr>
    </w:p>
    <w:p w14:paraId="45209B63" w14:textId="77777777" w:rsidR="00F24287" w:rsidRPr="00944F24" w:rsidRDefault="00F24287" w:rsidP="00881E77">
      <w:pPr>
        <w:spacing w:after="0" w:line="480" w:lineRule="auto"/>
        <w:rPr>
          <w:lang w:val="en-GB"/>
        </w:rPr>
      </w:pPr>
      <w:r w:rsidRPr="00944F24">
        <w:rPr>
          <w:b/>
          <w:lang w:val="en-GB"/>
        </w:rPr>
        <w:t>Table II</w:t>
      </w:r>
      <w:r w:rsidRPr="00944F24">
        <w:rPr>
          <w:lang w:val="en-GB"/>
        </w:rPr>
        <w:t xml:space="preserve"> Patient reported events</w:t>
      </w:r>
    </w:p>
    <w:tbl>
      <w:tblPr>
        <w:tblStyle w:val="Tabel-Klassisk1"/>
        <w:tblW w:w="5780" w:type="dxa"/>
        <w:jc w:val="center"/>
        <w:tblLook w:val="04A0" w:firstRow="1" w:lastRow="0" w:firstColumn="1" w:lastColumn="0" w:noHBand="0" w:noVBand="1"/>
      </w:tblPr>
      <w:tblGrid>
        <w:gridCol w:w="3600"/>
        <w:gridCol w:w="800"/>
        <w:gridCol w:w="1380"/>
      </w:tblGrid>
      <w:tr w:rsidR="00F24287" w:rsidRPr="00944F24" w14:paraId="5DB2548D" w14:textId="77777777" w:rsidTr="006879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EF5ECAD" w14:textId="77777777" w:rsidR="00F24287" w:rsidRPr="00944F24" w:rsidRDefault="00F24287" w:rsidP="00881E77">
            <w:pPr>
              <w:spacing w:line="480" w:lineRule="auto"/>
              <w:rPr>
                <w:color w:val="000000"/>
                <w:lang w:eastAsia="da-DK"/>
              </w:rPr>
            </w:pPr>
            <w:r w:rsidRPr="00944F24">
              <w:t>Adverse event registered</w:t>
            </w:r>
          </w:p>
        </w:tc>
        <w:tc>
          <w:tcPr>
            <w:tcW w:w="800" w:type="dxa"/>
            <w:noWrap/>
            <w:hideMark/>
          </w:tcPr>
          <w:p w14:paraId="0B8555CF" w14:textId="54CB634D" w:rsidR="00F24287" w:rsidRPr="00944F24" w:rsidRDefault="00997EE2"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N</w:t>
            </w:r>
            <w:r>
              <w:rPr>
                <w:color w:val="000000"/>
                <w:lang w:eastAsia="da-DK"/>
              </w:rPr>
              <w:t>o.</w:t>
            </w:r>
          </w:p>
        </w:tc>
        <w:tc>
          <w:tcPr>
            <w:tcW w:w="1380" w:type="dxa"/>
            <w:noWrap/>
            <w:hideMark/>
          </w:tcPr>
          <w:p w14:paraId="15399914"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Proportion</w:t>
            </w:r>
          </w:p>
        </w:tc>
      </w:tr>
      <w:tr w:rsidR="00F24287" w:rsidRPr="00944F24" w14:paraId="6DEE2EF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1D629F95" w14:textId="77777777" w:rsidR="00F24287" w:rsidRPr="00944F24" w:rsidRDefault="00F24287" w:rsidP="00881E77">
            <w:pPr>
              <w:spacing w:line="480" w:lineRule="auto"/>
              <w:rPr>
                <w:color w:val="000000"/>
                <w:lang w:eastAsia="da-DK"/>
              </w:rPr>
            </w:pPr>
            <w:r w:rsidRPr="00944F24">
              <w:rPr>
                <w:color w:val="000000"/>
                <w:lang w:eastAsia="da-DK"/>
              </w:rPr>
              <w:t>Pain from target knee</w:t>
            </w:r>
          </w:p>
        </w:tc>
        <w:tc>
          <w:tcPr>
            <w:tcW w:w="800" w:type="dxa"/>
            <w:hideMark/>
          </w:tcPr>
          <w:p w14:paraId="6B90E25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w:t>
            </w:r>
          </w:p>
        </w:tc>
        <w:tc>
          <w:tcPr>
            <w:tcW w:w="1380" w:type="dxa"/>
            <w:hideMark/>
          </w:tcPr>
          <w:p w14:paraId="3048A4F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17.1%</w:t>
            </w:r>
          </w:p>
        </w:tc>
      </w:tr>
      <w:tr w:rsidR="00F24287" w:rsidRPr="00944F24" w14:paraId="63FB5DA5"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658D78C6" w14:textId="77777777" w:rsidR="00F24287" w:rsidRPr="00944F24" w:rsidRDefault="00F24287" w:rsidP="00881E77">
            <w:pPr>
              <w:spacing w:line="480" w:lineRule="auto"/>
              <w:rPr>
                <w:color w:val="000000"/>
                <w:lang w:eastAsia="da-DK"/>
              </w:rPr>
            </w:pPr>
            <w:r w:rsidRPr="00944F24">
              <w:rPr>
                <w:color w:val="000000"/>
                <w:lang w:eastAsia="da-DK"/>
              </w:rPr>
              <w:t>Other pain from extremity</w:t>
            </w:r>
          </w:p>
        </w:tc>
        <w:tc>
          <w:tcPr>
            <w:tcW w:w="800" w:type="dxa"/>
            <w:hideMark/>
          </w:tcPr>
          <w:p w14:paraId="7F5F2E4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380" w:type="dxa"/>
            <w:hideMark/>
          </w:tcPr>
          <w:p w14:paraId="017E43C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r>
      <w:tr w:rsidR="00F24287" w:rsidRPr="00944F24" w14:paraId="12D21A7A"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3D4464CD" w14:textId="77777777" w:rsidR="00F24287" w:rsidRPr="00944F24" w:rsidRDefault="00F24287" w:rsidP="00881E77">
            <w:pPr>
              <w:spacing w:line="480" w:lineRule="auto"/>
              <w:rPr>
                <w:color w:val="000000"/>
                <w:lang w:eastAsia="da-DK"/>
              </w:rPr>
            </w:pPr>
            <w:r w:rsidRPr="00944F24">
              <w:rPr>
                <w:color w:val="000000"/>
                <w:lang w:eastAsia="da-DK"/>
              </w:rPr>
              <w:t xml:space="preserve">Muscle discomfort/pain  </w:t>
            </w:r>
          </w:p>
        </w:tc>
        <w:tc>
          <w:tcPr>
            <w:tcW w:w="800" w:type="dxa"/>
            <w:hideMark/>
          </w:tcPr>
          <w:p w14:paraId="03DBD3F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380" w:type="dxa"/>
            <w:hideMark/>
          </w:tcPr>
          <w:p w14:paraId="235F1C6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r>
      <w:tr w:rsidR="00F24287" w:rsidRPr="00944F24" w14:paraId="5421A03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214E797D" w14:textId="77777777" w:rsidR="00F24287" w:rsidRPr="00944F24" w:rsidRDefault="00F24287" w:rsidP="00881E77">
            <w:pPr>
              <w:spacing w:line="480" w:lineRule="auto"/>
              <w:rPr>
                <w:color w:val="000000"/>
                <w:lang w:eastAsia="da-DK"/>
              </w:rPr>
            </w:pPr>
            <w:r w:rsidRPr="00944F24">
              <w:rPr>
                <w:color w:val="000000"/>
                <w:lang w:eastAsia="da-DK"/>
              </w:rPr>
              <w:t>Soreness</w:t>
            </w:r>
          </w:p>
        </w:tc>
        <w:tc>
          <w:tcPr>
            <w:tcW w:w="800" w:type="dxa"/>
            <w:hideMark/>
          </w:tcPr>
          <w:p w14:paraId="5A97689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380" w:type="dxa"/>
            <w:hideMark/>
          </w:tcPr>
          <w:p w14:paraId="7D94E4F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r>
      <w:tr w:rsidR="00F24287" w:rsidRPr="00944F24" w14:paraId="18CE8326"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290C43CF" w14:textId="77777777" w:rsidR="00F24287" w:rsidRPr="00944F24" w:rsidRDefault="00F24287" w:rsidP="00881E77">
            <w:pPr>
              <w:spacing w:line="480" w:lineRule="auto"/>
              <w:rPr>
                <w:color w:val="000000"/>
                <w:lang w:eastAsia="da-DK"/>
              </w:rPr>
            </w:pPr>
            <w:r w:rsidRPr="00944F24">
              <w:rPr>
                <w:color w:val="000000"/>
                <w:lang w:eastAsia="da-DK"/>
              </w:rPr>
              <w:lastRenderedPageBreak/>
              <w:t>Burning sensation</w:t>
            </w:r>
          </w:p>
        </w:tc>
        <w:tc>
          <w:tcPr>
            <w:tcW w:w="800" w:type="dxa"/>
            <w:hideMark/>
          </w:tcPr>
          <w:p w14:paraId="5692304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380" w:type="dxa"/>
            <w:hideMark/>
          </w:tcPr>
          <w:p w14:paraId="4152994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r>
      <w:tr w:rsidR="00F24287" w:rsidRPr="00944F24" w14:paraId="71F6A354"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4589FA2F" w14:textId="77777777" w:rsidR="00F24287" w:rsidRPr="00944F24" w:rsidRDefault="00F24287" w:rsidP="00881E77">
            <w:pPr>
              <w:spacing w:line="480" w:lineRule="auto"/>
              <w:rPr>
                <w:color w:val="000000"/>
                <w:lang w:eastAsia="da-DK"/>
              </w:rPr>
            </w:pPr>
            <w:r w:rsidRPr="00944F24">
              <w:rPr>
                <w:color w:val="000000"/>
                <w:lang w:eastAsia="da-DK"/>
              </w:rPr>
              <w:t>Sensation of distension</w:t>
            </w:r>
          </w:p>
        </w:tc>
        <w:tc>
          <w:tcPr>
            <w:tcW w:w="800" w:type="dxa"/>
            <w:hideMark/>
          </w:tcPr>
          <w:p w14:paraId="594FAB7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15</w:t>
            </w:r>
          </w:p>
        </w:tc>
        <w:tc>
          <w:tcPr>
            <w:tcW w:w="1380" w:type="dxa"/>
            <w:hideMark/>
          </w:tcPr>
          <w:p w14:paraId="6071347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36.6%</w:t>
            </w:r>
          </w:p>
        </w:tc>
      </w:tr>
      <w:tr w:rsidR="00F24287" w:rsidRPr="00944F24" w14:paraId="07AB975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1DE4AF26" w14:textId="77777777" w:rsidR="00F24287" w:rsidRPr="00944F24" w:rsidRDefault="00F24287" w:rsidP="00881E77">
            <w:pPr>
              <w:spacing w:line="480" w:lineRule="auto"/>
              <w:rPr>
                <w:color w:val="000000"/>
                <w:lang w:eastAsia="da-DK"/>
              </w:rPr>
            </w:pPr>
            <w:r w:rsidRPr="00944F24">
              <w:rPr>
                <w:color w:val="000000"/>
                <w:lang w:eastAsia="da-DK"/>
              </w:rPr>
              <w:t>Skin or joint pricking sensation</w:t>
            </w:r>
          </w:p>
        </w:tc>
        <w:tc>
          <w:tcPr>
            <w:tcW w:w="800" w:type="dxa"/>
            <w:hideMark/>
          </w:tcPr>
          <w:p w14:paraId="6920125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380" w:type="dxa"/>
            <w:hideMark/>
          </w:tcPr>
          <w:p w14:paraId="0E6D06D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r>
      <w:tr w:rsidR="00F24287" w:rsidRPr="00944F24" w14:paraId="1749FD0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5CDA5B91" w14:textId="77777777" w:rsidR="00F24287" w:rsidRPr="00944F24" w:rsidRDefault="00F24287" w:rsidP="00881E77">
            <w:pPr>
              <w:spacing w:line="480" w:lineRule="auto"/>
              <w:rPr>
                <w:color w:val="000000"/>
                <w:lang w:eastAsia="da-DK"/>
              </w:rPr>
            </w:pPr>
            <w:r w:rsidRPr="00944F24">
              <w:rPr>
                <w:color w:val="000000"/>
                <w:lang w:eastAsia="da-DK"/>
              </w:rPr>
              <w:t>Numbness</w:t>
            </w:r>
          </w:p>
        </w:tc>
        <w:tc>
          <w:tcPr>
            <w:tcW w:w="800" w:type="dxa"/>
            <w:hideMark/>
          </w:tcPr>
          <w:p w14:paraId="3FF7BDE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380" w:type="dxa"/>
            <w:hideMark/>
          </w:tcPr>
          <w:p w14:paraId="1E3CA31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r>
      <w:tr w:rsidR="00F24287" w:rsidRPr="00944F24" w14:paraId="7FF97680"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0C7CD48E" w14:textId="77777777" w:rsidR="00F24287" w:rsidRPr="00944F24" w:rsidRDefault="00F24287" w:rsidP="00881E77">
            <w:pPr>
              <w:spacing w:line="480" w:lineRule="auto"/>
              <w:rPr>
                <w:color w:val="000000"/>
                <w:lang w:eastAsia="da-DK"/>
              </w:rPr>
            </w:pPr>
            <w:r w:rsidRPr="00944F24">
              <w:rPr>
                <w:color w:val="000000"/>
                <w:lang w:eastAsia="da-DK"/>
              </w:rPr>
              <w:t>Cold sensation</w:t>
            </w:r>
          </w:p>
        </w:tc>
        <w:tc>
          <w:tcPr>
            <w:tcW w:w="800" w:type="dxa"/>
            <w:hideMark/>
          </w:tcPr>
          <w:p w14:paraId="2BF30B5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380" w:type="dxa"/>
            <w:hideMark/>
          </w:tcPr>
          <w:p w14:paraId="2607454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r>
      <w:tr w:rsidR="00F24287" w:rsidRPr="00944F24" w14:paraId="02660A4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2044182B" w14:textId="77777777" w:rsidR="00F24287" w:rsidRPr="00944F24" w:rsidRDefault="00F24287" w:rsidP="00881E77">
            <w:pPr>
              <w:spacing w:line="480" w:lineRule="auto"/>
              <w:rPr>
                <w:color w:val="000000"/>
                <w:lang w:eastAsia="da-DK"/>
              </w:rPr>
            </w:pPr>
            <w:r w:rsidRPr="00944F24">
              <w:rPr>
                <w:color w:val="000000"/>
                <w:lang w:eastAsia="da-DK"/>
              </w:rPr>
              <w:t>Heat sensation</w:t>
            </w:r>
          </w:p>
        </w:tc>
        <w:tc>
          <w:tcPr>
            <w:tcW w:w="800" w:type="dxa"/>
            <w:hideMark/>
          </w:tcPr>
          <w:p w14:paraId="6F5FF34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380" w:type="dxa"/>
            <w:hideMark/>
          </w:tcPr>
          <w:p w14:paraId="4F04B37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r>
      <w:tr w:rsidR="00F24287" w:rsidRPr="00944F24" w14:paraId="1A83447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hideMark/>
          </w:tcPr>
          <w:p w14:paraId="1FA590DA" w14:textId="77777777" w:rsidR="00F24287" w:rsidRPr="00944F24" w:rsidRDefault="00F24287" w:rsidP="00881E77">
            <w:pPr>
              <w:spacing w:line="480" w:lineRule="auto"/>
              <w:rPr>
                <w:color w:val="000000"/>
                <w:lang w:eastAsia="da-DK"/>
              </w:rPr>
            </w:pPr>
            <w:r w:rsidRPr="00944F24">
              <w:rPr>
                <w:color w:val="000000"/>
                <w:lang w:eastAsia="da-DK"/>
              </w:rPr>
              <w:t>Reduced range of motion</w:t>
            </w:r>
          </w:p>
        </w:tc>
        <w:tc>
          <w:tcPr>
            <w:tcW w:w="800" w:type="dxa"/>
            <w:hideMark/>
          </w:tcPr>
          <w:p w14:paraId="2DB2B81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w:t>
            </w:r>
          </w:p>
        </w:tc>
        <w:tc>
          <w:tcPr>
            <w:tcW w:w="1380" w:type="dxa"/>
            <w:hideMark/>
          </w:tcPr>
          <w:p w14:paraId="3C4E14D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9.8%</w:t>
            </w:r>
          </w:p>
        </w:tc>
      </w:tr>
      <w:tr w:rsidR="00F24287" w:rsidRPr="00944F24" w14:paraId="0666A6C9"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tcBorders>
              <w:bottom w:val="single" w:sz="12" w:space="0" w:color="000000"/>
            </w:tcBorders>
            <w:hideMark/>
          </w:tcPr>
          <w:p w14:paraId="38E57AF1" w14:textId="77777777" w:rsidR="00F24287" w:rsidRPr="00944F24" w:rsidRDefault="00F24287" w:rsidP="00881E77">
            <w:pPr>
              <w:spacing w:line="480" w:lineRule="auto"/>
              <w:rPr>
                <w:color w:val="000000"/>
                <w:lang w:eastAsia="da-DK"/>
              </w:rPr>
            </w:pPr>
            <w:r w:rsidRPr="00944F24">
              <w:rPr>
                <w:color w:val="000000"/>
                <w:lang w:eastAsia="da-DK"/>
              </w:rPr>
              <w:t>Stiffness</w:t>
            </w:r>
          </w:p>
        </w:tc>
        <w:tc>
          <w:tcPr>
            <w:tcW w:w="800" w:type="dxa"/>
            <w:tcBorders>
              <w:bottom w:val="single" w:sz="12" w:space="0" w:color="000000"/>
            </w:tcBorders>
            <w:hideMark/>
          </w:tcPr>
          <w:p w14:paraId="56AA4BD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380" w:type="dxa"/>
            <w:tcBorders>
              <w:bottom w:val="single" w:sz="12" w:space="0" w:color="000000"/>
            </w:tcBorders>
            <w:hideMark/>
          </w:tcPr>
          <w:p w14:paraId="5E2D2EB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r>
      <w:tr w:rsidR="00F24287" w:rsidRPr="00944F24" w14:paraId="2CB6382F"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600" w:type="dxa"/>
            <w:tcBorders>
              <w:top w:val="single" w:sz="12" w:space="0" w:color="000000"/>
              <w:bottom w:val="single" w:sz="12" w:space="0" w:color="000000"/>
            </w:tcBorders>
          </w:tcPr>
          <w:p w14:paraId="2B19213F" w14:textId="77777777" w:rsidR="00F24287" w:rsidRPr="00944F24" w:rsidRDefault="00F24287" w:rsidP="00881E77">
            <w:pPr>
              <w:spacing w:line="480" w:lineRule="auto"/>
              <w:rPr>
                <w:color w:val="000000"/>
                <w:lang w:eastAsia="da-DK"/>
              </w:rPr>
            </w:pPr>
            <w:r w:rsidRPr="00944F24">
              <w:rPr>
                <w:color w:val="000000"/>
                <w:lang w:eastAsia="da-DK"/>
              </w:rPr>
              <w:t xml:space="preserve">Total </w:t>
            </w:r>
          </w:p>
        </w:tc>
        <w:tc>
          <w:tcPr>
            <w:tcW w:w="800" w:type="dxa"/>
            <w:tcBorders>
              <w:top w:val="single" w:sz="12" w:space="0" w:color="000000"/>
              <w:bottom w:val="single" w:sz="12" w:space="0" w:color="000000"/>
            </w:tcBorders>
          </w:tcPr>
          <w:p w14:paraId="7E1D388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41</w:t>
            </w:r>
          </w:p>
        </w:tc>
        <w:tc>
          <w:tcPr>
            <w:tcW w:w="1380" w:type="dxa"/>
            <w:tcBorders>
              <w:top w:val="single" w:sz="12" w:space="0" w:color="000000"/>
              <w:bottom w:val="single" w:sz="12" w:space="0" w:color="000000"/>
            </w:tcBorders>
          </w:tcPr>
          <w:p w14:paraId="420DF67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100%</w:t>
            </w:r>
          </w:p>
        </w:tc>
      </w:tr>
    </w:tbl>
    <w:p w14:paraId="659638F1" w14:textId="77777777" w:rsidR="00F24287" w:rsidRPr="00944F24" w:rsidRDefault="00F24287" w:rsidP="00881E77">
      <w:pPr>
        <w:spacing w:after="0" w:line="480" w:lineRule="auto"/>
        <w:rPr>
          <w:lang w:val="en-GB"/>
        </w:rPr>
      </w:pPr>
    </w:p>
    <w:p w14:paraId="33C53665" w14:textId="77777777" w:rsidR="00F24287" w:rsidRPr="00944F24" w:rsidRDefault="00F24287" w:rsidP="00881E77">
      <w:pPr>
        <w:spacing w:after="0" w:line="480" w:lineRule="auto"/>
        <w:rPr>
          <w:lang w:val="en-GB"/>
        </w:rPr>
      </w:pPr>
      <w:r w:rsidRPr="00944F24">
        <w:rPr>
          <w:b/>
          <w:lang w:val="en-GB"/>
        </w:rPr>
        <w:t>Table III</w:t>
      </w:r>
      <w:r w:rsidRPr="00944F24">
        <w:rPr>
          <w:lang w:val="en-GB"/>
        </w:rPr>
        <w:t xml:space="preserve"> Patient-reported severity of the reported events</w:t>
      </w:r>
    </w:p>
    <w:tbl>
      <w:tblPr>
        <w:tblStyle w:val="Tabel-Klassisk1"/>
        <w:tblW w:w="7680" w:type="dxa"/>
        <w:jc w:val="center"/>
        <w:tblLook w:val="04A0" w:firstRow="1" w:lastRow="0" w:firstColumn="1" w:lastColumn="0" w:noHBand="0" w:noVBand="1"/>
      </w:tblPr>
      <w:tblGrid>
        <w:gridCol w:w="3224"/>
        <w:gridCol w:w="800"/>
        <w:gridCol w:w="1105"/>
        <w:gridCol w:w="1110"/>
        <w:gridCol w:w="168"/>
        <w:gridCol w:w="1273"/>
      </w:tblGrid>
      <w:tr w:rsidR="00F24287" w:rsidRPr="00944F24" w14:paraId="0D0AF04F" w14:textId="77777777" w:rsidTr="006879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37" w:type="dxa"/>
          </w:tcPr>
          <w:p w14:paraId="2FC4A16D" w14:textId="77777777" w:rsidR="00F24287" w:rsidRPr="00944F24" w:rsidRDefault="00F24287" w:rsidP="00881E77">
            <w:pPr>
              <w:spacing w:line="480" w:lineRule="auto"/>
              <w:rPr>
                <w:color w:val="000000"/>
                <w:lang w:eastAsia="da-DK"/>
              </w:rPr>
            </w:pPr>
          </w:p>
        </w:tc>
        <w:tc>
          <w:tcPr>
            <w:tcW w:w="800" w:type="dxa"/>
          </w:tcPr>
          <w:p w14:paraId="2571992F"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t>n</w:t>
            </w:r>
          </w:p>
        </w:tc>
        <w:tc>
          <w:tcPr>
            <w:tcW w:w="1083" w:type="dxa"/>
          </w:tcPr>
          <w:p w14:paraId="120E5799"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t>Proportion</w:t>
            </w:r>
          </w:p>
        </w:tc>
        <w:tc>
          <w:tcPr>
            <w:tcW w:w="1280" w:type="dxa"/>
            <w:gridSpan w:val="2"/>
          </w:tcPr>
          <w:p w14:paraId="4B4352E9"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t>Severity</w:t>
            </w:r>
          </w:p>
        </w:tc>
        <w:tc>
          <w:tcPr>
            <w:tcW w:w="1280" w:type="dxa"/>
          </w:tcPr>
          <w:p w14:paraId="70D095AD"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n</w:t>
            </w:r>
          </w:p>
        </w:tc>
      </w:tr>
      <w:tr w:rsidR="00F24287" w:rsidRPr="00944F24" w14:paraId="3C908A75"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77B1ADE2" w14:textId="77777777" w:rsidR="00F24287" w:rsidRPr="00944F24" w:rsidRDefault="00F24287" w:rsidP="00881E77">
            <w:pPr>
              <w:spacing w:line="480" w:lineRule="auto"/>
              <w:rPr>
                <w:color w:val="000000"/>
                <w:lang w:eastAsia="da-DK"/>
              </w:rPr>
            </w:pPr>
            <w:r w:rsidRPr="00944F24">
              <w:rPr>
                <w:color w:val="000000"/>
                <w:lang w:eastAsia="da-DK"/>
              </w:rPr>
              <w:t xml:space="preserve">Pain from target knee </w:t>
            </w:r>
          </w:p>
        </w:tc>
        <w:tc>
          <w:tcPr>
            <w:tcW w:w="800" w:type="dxa"/>
            <w:hideMark/>
          </w:tcPr>
          <w:p w14:paraId="7668B73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w:t>
            </w:r>
          </w:p>
        </w:tc>
        <w:tc>
          <w:tcPr>
            <w:tcW w:w="1083" w:type="dxa"/>
            <w:hideMark/>
          </w:tcPr>
          <w:p w14:paraId="2A4A1D4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17.1%</w:t>
            </w:r>
          </w:p>
        </w:tc>
        <w:tc>
          <w:tcPr>
            <w:tcW w:w="1111" w:type="dxa"/>
            <w:hideMark/>
          </w:tcPr>
          <w:p w14:paraId="7852650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0BFB239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1AF03845"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101C6BFF"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2D67BFA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0030FF8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72C6BF6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4DAA579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289D9D9D"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CAB69D0"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270713A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5588AA6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76FE23F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0EB749F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w:t>
            </w:r>
          </w:p>
        </w:tc>
      </w:tr>
      <w:tr w:rsidR="00F24287" w:rsidRPr="00944F24" w14:paraId="6D01C23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41B466CD" w14:textId="77777777" w:rsidR="00F24287" w:rsidRPr="00944F24" w:rsidRDefault="00F24287" w:rsidP="00881E77">
            <w:pPr>
              <w:spacing w:line="480" w:lineRule="auto"/>
              <w:rPr>
                <w:color w:val="000000"/>
                <w:lang w:eastAsia="da-DK"/>
              </w:rPr>
            </w:pPr>
            <w:r w:rsidRPr="00944F24">
              <w:rPr>
                <w:color w:val="000000"/>
                <w:lang w:eastAsia="da-DK"/>
              </w:rPr>
              <w:t>Other pain from extremity</w:t>
            </w:r>
          </w:p>
        </w:tc>
        <w:tc>
          <w:tcPr>
            <w:tcW w:w="800" w:type="dxa"/>
            <w:hideMark/>
          </w:tcPr>
          <w:p w14:paraId="40D8AD5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083" w:type="dxa"/>
            <w:hideMark/>
          </w:tcPr>
          <w:p w14:paraId="537F183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111" w:type="dxa"/>
            <w:hideMark/>
          </w:tcPr>
          <w:p w14:paraId="4DD174A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7775607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6C62E53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tcPr>
          <w:p w14:paraId="778498DC" w14:textId="77777777" w:rsidR="00F24287" w:rsidRPr="00944F24" w:rsidRDefault="00F24287" w:rsidP="00881E77">
            <w:pPr>
              <w:spacing w:line="480" w:lineRule="auto"/>
              <w:rPr>
                <w:color w:val="000000"/>
                <w:lang w:eastAsia="da-DK"/>
              </w:rPr>
            </w:pPr>
          </w:p>
        </w:tc>
        <w:tc>
          <w:tcPr>
            <w:tcW w:w="800" w:type="dxa"/>
            <w:noWrap/>
            <w:hideMark/>
          </w:tcPr>
          <w:p w14:paraId="34E92AE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701ED66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6A14E18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3E1CA7E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4E68B560"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tcPr>
          <w:p w14:paraId="28FF8E8D" w14:textId="77777777" w:rsidR="00F24287" w:rsidRPr="00944F24" w:rsidRDefault="00F24287" w:rsidP="00881E77">
            <w:pPr>
              <w:spacing w:line="480" w:lineRule="auto"/>
              <w:rPr>
                <w:color w:val="000000"/>
                <w:lang w:eastAsia="da-DK"/>
              </w:rPr>
            </w:pPr>
          </w:p>
        </w:tc>
        <w:tc>
          <w:tcPr>
            <w:tcW w:w="800" w:type="dxa"/>
            <w:noWrap/>
            <w:hideMark/>
          </w:tcPr>
          <w:p w14:paraId="6F0C738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4BB9577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05C498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0F7D210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12F5FDF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20307AE" w14:textId="77777777" w:rsidR="00F24287" w:rsidRPr="00944F24" w:rsidRDefault="00F24287" w:rsidP="00881E77">
            <w:pPr>
              <w:spacing w:line="480" w:lineRule="auto"/>
              <w:rPr>
                <w:color w:val="000000"/>
                <w:lang w:eastAsia="da-DK"/>
              </w:rPr>
            </w:pPr>
            <w:r w:rsidRPr="00944F24">
              <w:rPr>
                <w:color w:val="000000"/>
                <w:lang w:eastAsia="da-DK"/>
              </w:rPr>
              <w:t xml:space="preserve">Muscle discomfort/pain  </w:t>
            </w:r>
          </w:p>
        </w:tc>
        <w:tc>
          <w:tcPr>
            <w:tcW w:w="800" w:type="dxa"/>
            <w:hideMark/>
          </w:tcPr>
          <w:p w14:paraId="694A75F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083" w:type="dxa"/>
            <w:hideMark/>
          </w:tcPr>
          <w:p w14:paraId="689BE00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c>
          <w:tcPr>
            <w:tcW w:w="1111" w:type="dxa"/>
            <w:hideMark/>
          </w:tcPr>
          <w:p w14:paraId="3EEDD32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44C9F62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43AE1F6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21D53AA"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3A1F4D3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5DE11FA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087314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7D79C60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2A9EB0C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9F89D99"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21C2B9D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466157D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1F736C9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2A1960A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E276419"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4F18E27" w14:textId="77777777" w:rsidR="00F24287" w:rsidRPr="00944F24" w:rsidRDefault="00F24287" w:rsidP="00881E77">
            <w:pPr>
              <w:spacing w:line="480" w:lineRule="auto"/>
              <w:rPr>
                <w:color w:val="000000"/>
                <w:lang w:eastAsia="da-DK"/>
              </w:rPr>
            </w:pPr>
            <w:r w:rsidRPr="00944F24">
              <w:rPr>
                <w:color w:val="000000"/>
                <w:lang w:eastAsia="da-DK"/>
              </w:rPr>
              <w:t xml:space="preserve">Soreness </w:t>
            </w:r>
          </w:p>
        </w:tc>
        <w:tc>
          <w:tcPr>
            <w:tcW w:w="800" w:type="dxa"/>
            <w:hideMark/>
          </w:tcPr>
          <w:p w14:paraId="61E7344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083" w:type="dxa"/>
            <w:hideMark/>
          </w:tcPr>
          <w:p w14:paraId="7DCE486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c>
          <w:tcPr>
            <w:tcW w:w="1111" w:type="dxa"/>
            <w:hideMark/>
          </w:tcPr>
          <w:p w14:paraId="6DBCC73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7E32CE7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r>
      <w:tr w:rsidR="00F24287" w:rsidRPr="00944F24" w14:paraId="57875D43"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48380E30"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2985321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75DE557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6D82C02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4C11877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C5AF49D"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7F11BC89"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667AD4D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114547A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9DAA6F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444313C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1558F84"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86708C6" w14:textId="77777777" w:rsidR="00F24287" w:rsidRPr="00944F24" w:rsidRDefault="00F24287" w:rsidP="00881E77">
            <w:pPr>
              <w:spacing w:line="480" w:lineRule="auto"/>
              <w:rPr>
                <w:color w:val="000000"/>
                <w:lang w:eastAsia="da-DK"/>
              </w:rPr>
            </w:pPr>
            <w:r w:rsidRPr="00944F24">
              <w:rPr>
                <w:color w:val="000000"/>
                <w:lang w:eastAsia="da-DK"/>
              </w:rPr>
              <w:t xml:space="preserve">Burning sensation </w:t>
            </w:r>
          </w:p>
        </w:tc>
        <w:tc>
          <w:tcPr>
            <w:tcW w:w="800" w:type="dxa"/>
            <w:hideMark/>
          </w:tcPr>
          <w:p w14:paraId="13C8505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083" w:type="dxa"/>
            <w:hideMark/>
          </w:tcPr>
          <w:p w14:paraId="06BE431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111" w:type="dxa"/>
            <w:hideMark/>
          </w:tcPr>
          <w:p w14:paraId="4C1F9E8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741128C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1CFB320A"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5A6F8A4D"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0419938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643D569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02EDF2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4134ADC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6E59FD03"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6BBB6A72"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0FEF75D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7087F46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AB7B13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6417566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7EDD816"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D4C4F42" w14:textId="77777777" w:rsidR="00F24287" w:rsidRPr="00944F24" w:rsidRDefault="00F24287" w:rsidP="00881E77">
            <w:pPr>
              <w:spacing w:line="480" w:lineRule="auto"/>
              <w:rPr>
                <w:color w:val="000000"/>
                <w:lang w:eastAsia="da-DK"/>
              </w:rPr>
            </w:pPr>
            <w:r w:rsidRPr="00944F24">
              <w:rPr>
                <w:color w:val="000000"/>
                <w:lang w:eastAsia="da-DK"/>
              </w:rPr>
              <w:t xml:space="preserve">Sensation of distension </w:t>
            </w:r>
          </w:p>
        </w:tc>
        <w:tc>
          <w:tcPr>
            <w:tcW w:w="800" w:type="dxa"/>
            <w:hideMark/>
          </w:tcPr>
          <w:p w14:paraId="4389517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15</w:t>
            </w:r>
          </w:p>
        </w:tc>
        <w:tc>
          <w:tcPr>
            <w:tcW w:w="1083" w:type="dxa"/>
            <w:hideMark/>
          </w:tcPr>
          <w:p w14:paraId="060849A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36.6%</w:t>
            </w:r>
          </w:p>
        </w:tc>
        <w:tc>
          <w:tcPr>
            <w:tcW w:w="1111" w:type="dxa"/>
            <w:hideMark/>
          </w:tcPr>
          <w:p w14:paraId="06FE87A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6DA7C2E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10</w:t>
            </w:r>
          </w:p>
        </w:tc>
      </w:tr>
      <w:tr w:rsidR="00F24287" w:rsidRPr="00944F24" w14:paraId="2FBFE1E6"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5A87A3AD" w14:textId="77777777" w:rsidR="00F24287" w:rsidRPr="00944F24" w:rsidRDefault="00F24287" w:rsidP="00881E77">
            <w:pPr>
              <w:spacing w:line="480" w:lineRule="auto"/>
              <w:rPr>
                <w:color w:val="000000"/>
                <w:lang w:eastAsia="da-DK"/>
              </w:rPr>
            </w:pPr>
            <w:r w:rsidRPr="00944F24">
              <w:rPr>
                <w:color w:val="000000"/>
                <w:lang w:eastAsia="da-DK"/>
              </w:rPr>
              <w:lastRenderedPageBreak/>
              <w:t> </w:t>
            </w:r>
          </w:p>
        </w:tc>
        <w:tc>
          <w:tcPr>
            <w:tcW w:w="800" w:type="dxa"/>
            <w:noWrap/>
            <w:hideMark/>
          </w:tcPr>
          <w:p w14:paraId="209EFBF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0E34FD9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1F1289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3BAE7B6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1A23094A"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6F4A0E17"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070B8AE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60DBC3C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69F1EA8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00BE287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r>
      <w:tr w:rsidR="00F24287" w:rsidRPr="00944F24" w14:paraId="3FA065A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4D282E3B" w14:textId="77777777" w:rsidR="00F24287" w:rsidRPr="00944F24" w:rsidRDefault="00F24287" w:rsidP="00881E77">
            <w:pPr>
              <w:spacing w:line="480" w:lineRule="auto"/>
              <w:rPr>
                <w:color w:val="000000"/>
                <w:lang w:eastAsia="da-DK"/>
              </w:rPr>
            </w:pPr>
            <w:r w:rsidRPr="00944F24">
              <w:rPr>
                <w:color w:val="000000"/>
                <w:lang w:eastAsia="da-DK"/>
              </w:rPr>
              <w:t xml:space="preserve">Skin or joint pricking sensation </w:t>
            </w:r>
          </w:p>
        </w:tc>
        <w:tc>
          <w:tcPr>
            <w:tcW w:w="800" w:type="dxa"/>
            <w:hideMark/>
          </w:tcPr>
          <w:p w14:paraId="1982645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083" w:type="dxa"/>
            <w:hideMark/>
          </w:tcPr>
          <w:p w14:paraId="3A4F2F2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c>
          <w:tcPr>
            <w:tcW w:w="1111" w:type="dxa"/>
            <w:hideMark/>
          </w:tcPr>
          <w:p w14:paraId="0AD18A3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23B05B0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74ECAA3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7693A53"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6AEF368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760BB19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39A97C1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360B91F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101298F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364B043B"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76EE15D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26C89AB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78E5495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0F3C1C3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4819E79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3483C7D3" w14:textId="77777777" w:rsidR="00F24287" w:rsidRPr="00944F24" w:rsidRDefault="00F24287" w:rsidP="00881E77">
            <w:pPr>
              <w:spacing w:line="480" w:lineRule="auto"/>
              <w:rPr>
                <w:color w:val="000000"/>
                <w:lang w:eastAsia="da-DK"/>
              </w:rPr>
            </w:pPr>
            <w:r w:rsidRPr="00944F24">
              <w:rPr>
                <w:color w:val="000000"/>
                <w:lang w:eastAsia="da-DK"/>
              </w:rPr>
              <w:t xml:space="preserve">Numbness </w:t>
            </w:r>
          </w:p>
        </w:tc>
        <w:tc>
          <w:tcPr>
            <w:tcW w:w="800" w:type="dxa"/>
            <w:hideMark/>
          </w:tcPr>
          <w:p w14:paraId="3E95C00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083" w:type="dxa"/>
            <w:hideMark/>
          </w:tcPr>
          <w:p w14:paraId="11F5506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111" w:type="dxa"/>
            <w:hideMark/>
          </w:tcPr>
          <w:p w14:paraId="0B1A09D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00F813B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4057CCB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4D672F6"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520503E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2573D27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675F053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4358CA5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8BF439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03546EA8"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5925DA0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1C2A24D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17D37AD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271B2DF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0CCA976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3C917A35" w14:textId="77777777" w:rsidR="00F24287" w:rsidRPr="00944F24" w:rsidRDefault="00F24287" w:rsidP="00881E77">
            <w:pPr>
              <w:spacing w:line="480" w:lineRule="auto"/>
              <w:rPr>
                <w:color w:val="000000"/>
                <w:lang w:eastAsia="da-DK"/>
              </w:rPr>
            </w:pPr>
            <w:r w:rsidRPr="00944F24">
              <w:rPr>
                <w:color w:val="000000"/>
                <w:lang w:eastAsia="da-DK"/>
              </w:rPr>
              <w:t xml:space="preserve">Cold sensation </w:t>
            </w:r>
          </w:p>
        </w:tc>
        <w:tc>
          <w:tcPr>
            <w:tcW w:w="800" w:type="dxa"/>
            <w:hideMark/>
          </w:tcPr>
          <w:p w14:paraId="340A287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083" w:type="dxa"/>
            <w:hideMark/>
          </w:tcPr>
          <w:p w14:paraId="04BFDFB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111" w:type="dxa"/>
            <w:hideMark/>
          </w:tcPr>
          <w:p w14:paraId="4FF6FC1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51322BE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0323DA9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531E3E00"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4A3D771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330DA4B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2D73C1C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4CDE31A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05690F1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1186980C"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7383C41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2107E03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4631305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6818405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1C11F45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A73C144" w14:textId="77777777" w:rsidR="00F24287" w:rsidRPr="00944F24" w:rsidRDefault="00F24287" w:rsidP="00881E77">
            <w:pPr>
              <w:spacing w:line="480" w:lineRule="auto"/>
              <w:rPr>
                <w:color w:val="000000"/>
                <w:lang w:eastAsia="da-DK"/>
              </w:rPr>
            </w:pPr>
            <w:r w:rsidRPr="00944F24">
              <w:rPr>
                <w:color w:val="000000"/>
                <w:lang w:eastAsia="da-DK"/>
              </w:rPr>
              <w:t xml:space="preserve">Heat sensation </w:t>
            </w:r>
          </w:p>
        </w:tc>
        <w:tc>
          <w:tcPr>
            <w:tcW w:w="800" w:type="dxa"/>
            <w:hideMark/>
          </w:tcPr>
          <w:p w14:paraId="35CA091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083" w:type="dxa"/>
            <w:hideMark/>
          </w:tcPr>
          <w:p w14:paraId="22CCC5A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111" w:type="dxa"/>
            <w:hideMark/>
          </w:tcPr>
          <w:p w14:paraId="24C8486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328E66F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7F7B9B8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77D888AC"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4900161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235D121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448C58C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57374C6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33A1ADA"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440B8C00"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0A06A7C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3C5E631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0C0C4A3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4E88DAA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44362679"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17250EA4" w14:textId="77777777" w:rsidR="00F24287" w:rsidRPr="00944F24" w:rsidRDefault="00F24287" w:rsidP="00881E77">
            <w:pPr>
              <w:spacing w:line="480" w:lineRule="auto"/>
              <w:rPr>
                <w:color w:val="000000"/>
                <w:lang w:eastAsia="da-DK"/>
              </w:rPr>
            </w:pPr>
            <w:r w:rsidRPr="00944F24">
              <w:rPr>
                <w:color w:val="000000"/>
                <w:lang w:eastAsia="da-DK"/>
              </w:rPr>
              <w:t xml:space="preserve">Reduced range of motion </w:t>
            </w:r>
          </w:p>
        </w:tc>
        <w:tc>
          <w:tcPr>
            <w:tcW w:w="800" w:type="dxa"/>
            <w:hideMark/>
          </w:tcPr>
          <w:p w14:paraId="03AF5D5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w:t>
            </w:r>
          </w:p>
        </w:tc>
        <w:tc>
          <w:tcPr>
            <w:tcW w:w="1083" w:type="dxa"/>
            <w:hideMark/>
          </w:tcPr>
          <w:p w14:paraId="799D333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9.8%</w:t>
            </w:r>
          </w:p>
        </w:tc>
        <w:tc>
          <w:tcPr>
            <w:tcW w:w="1111" w:type="dxa"/>
            <w:hideMark/>
          </w:tcPr>
          <w:p w14:paraId="1EC39A6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51083DC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73F0DAF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6C6ED87B"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7373CF6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3CE9ACC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6B95B42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692CBA3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7E690BE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7A0D5A1F"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6D47452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6235E18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481A06E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2988C13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45DBFC6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1EFAB493" w14:textId="77777777" w:rsidR="00F24287" w:rsidRPr="00944F24" w:rsidRDefault="00F24287" w:rsidP="00881E77">
            <w:pPr>
              <w:spacing w:line="480" w:lineRule="auto"/>
              <w:rPr>
                <w:color w:val="000000"/>
                <w:lang w:eastAsia="da-DK"/>
              </w:rPr>
            </w:pPr>
            <w:r w:rsidRPr="00944F24">
              <w:rPr>
                <w:color w:val="000000"/>
                <w:lang w:eastAsia="da-DK"/>
              </w:rPr>
              <w:t xml:space="preserve">Stiffness </w:t>
            </w:r>
          </w:p>
        </w:tc>
        <w:tc>
          <w:tcPr>
            <w:tcW w:w="800" w:type="dxa"/>
            <w:hideMark/>
          </w:tcPr>
          <w:p w14:paraId="12EE377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083" w:type="dxa"/>
            <w:hideMark/>
          </w:tcPr>
          <w:p w14:paraId="57D244F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c>
          <w:tcPr>
            <w:tcW w:w="1111" w:type="dxa"/>
            <w:hideMark/>
          </w:tcPr>
          <w:p w14:paraId="38AD94A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Mild</w:t>
            </w:r>
          </w:p>
        </w:tc>
        <w:tc>
          <w:tcPr>
            <w:tcW w:w="1449" w:type="dxa"/>
            <w:gridSpan w:val="2"/>
            <w:hideMark/>
          </w:tcPr>
          <w:p w14:paraId="762D608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5665D51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236F80B2"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07A8EEC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76DC1D8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7565C5D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Moderate</w:t>
            </w:r>
          </w:p>
        </w:tc>
        <w:tc>
          <w:tcPr>
            <w:tcW w:w="1449" w:type="dxa"/>
            <w:gridSpan w:val="2"/>
            <w:hideMark/>
          </w:tcPr>
          <w:p w14:paraId="5C62D3D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63AF1F4"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237" w:type="dxa"/>
            <w:hideMark/>
          </w:tcPr>
          <w:p w14:paraId="1BADBCF6" w14:textId="77777777" w:rsidR="00F24287" w:rsidRPr="00944F24" w:rsidRDefault="00F24287" w:rsidP="00881E77">
            <w:pPr>
              <w:spacing w:line="480" w:lineRule="auto"/>
              <w:rPr>
                <w:color w:val="000000"/>
                <w:lang w:eastAsia="da-DK"/>
              </w:rPr>
            </w:pPr>
            <w:r w:rsidRPr="00944F24">
              <w:rPr>
                <w:color w:val="000000"/>
                <w:lang w:eastAsia="da-DK"/>
              </w:rPr>
              <w:t> </w:t>
            </w:r>
          </w:p>
        </w:tc>
        <w:tc>
          <w:tcPr>
            <w:tcW w:w="800" w:type="dxa"/>
            <w:noWrap/>
            <w:hideMark/>
          </w:tcPr>
          <w:p w14:paraId="7336F3C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083" w:type="dxa"/>
            <w:noWrap/>
            <w:hideMark/>
          </w:tcPr>
          <w:p w14:paraId="1E32B49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111" w:type="dxa"/>
            <w:hideMark/>
          </w:tcPr>
          <w:p w14:paraId="1A45FD0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Severe</w:t>
            </w:r>
          </w:p>
        </w:tc>
        <w:tc>
          <w:tcPr>
            <w:tcW w:w="1449" w:type="dxa"/>
            <w:gridSpan w:val="2"/>
            <w:hideMark/>
          </w:tcPr>
          <w:p w14:paraId="0A0829D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bl>
    <w:p w14:paraId="4E610258" w14:textId="77777777" w:rsidR="00F24287" w:rsidRPr="00944F24" w:rsidRDefault="00F24287" w:rsidP="00881E77">
      <w:pPr>
        <w:spacing w:after="0" w:line="480" w:lineRule="auto"/>
        <w:rPr>
          <w:lang w:val="en-GB"/>
        </w:rPr>
      </w:pPr>
      <w:r w:rsidRPr="00944F24">
        <w:rPr>
          <w:b/>
          <w:lang w:val="en-GB"/>
        </w:rPr>
        <w:t>Table IV</w:t>
      </w:r>
      <w:r w:rsidRPr="00944F24">
        <w:rPr>
          <w:lang w:val="en-GB"/>
        </w:rPr>
        <w:t xml:space="preserve"> Self-reported duration of reported AE or discomfort </w:t>
      </w:r>
    </w:p>
    <w:tbl>
      <w:tblPr>
        <w:tblStyle w:val="Tabel-Klassisk1"/>
        <w:tblW w:w="8862" w:type="dxa"/>
        <w:jc w:val="center"/>
        <w:tblLook w:val="04A0" w:firstRow="1" w:lastRow="0" w:firstColumn="1" w:lastColumn="0" w:noHBand="0" w:noVBand="1"/>
      </w:tblPr>
      <w:tblGrid>
        <w:gridCol w:w="3562"/>
        <w:gridCol w:w="793"/>
        <w:gridCol w:w="1282"/>
        <w:gridCol w:w="1621"/>
        <w:gridCol w:w="1604"/>
      </w:tblGrid>
      <w:tr w:rsidR="00F24287" w:rsidRPr="00944F24" w14:paraId="5EE603F3" w14:textId="77777777" w:rsidTr="006879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62" w:type="dxa"/>
            <w:noWrap/>
            <w:hideMark/>
          </w:tcPr>
          <w:p w14:paraId="7AA3C89A" w14:textId="77777777" w:rsidR="00F24287" w:rsidRPr="00944F24" w:rsidRDefault="00F24287" w:rsidP="00881E77">
            <w:pPr>
              <w:spacing w:line="480" w:lineRule="auto"/>
              <w:rPr>
                <w:color w:val="000000"/>
                <w:lang w:eastAsia="da-DK"/>
              </w:rPr>
            </w:pPr>
          </w:p>
        </w:tc>
        <w:tc>
          <w:tcPr>
            <w:tcW w:w="793" w:type="dxa"/>
            <w:noWrap/>
            <w:hideMark/>
          </w:tcPr>
          <w:p w14:paraId="7853A597"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n</w:t>
            </w:r>
          </w:p>
        </w:tc>
        <w:tc>
          <w:tcPr>
            <w:tcW w:w="1282" w:type="dxa"/>
            <w:noWrap/>
            <w:hideMark/>
          </w:tcPr>
          <w:p w14:paraId="3C04968E"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t>Proportion</w:t>
            </w:r>
          </w:p>
        </w:tc>
        <w:tc>
          <w:tcPr>
            <w:tcW w:w="1621" w:type="dxa"/>
            <w:noWrap/>
            <w:hideMark/>
          </w:tcPr>
          <w:p w14:paraId="17109370"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Duration</w:t>
            </w:r>
          </w:p>
        </w:tc>
        <w:tc>
          <w:tcPr>
            <w:tcW w:w="1604" w:type="dxa"/>
            <w:noWrap/>
            <w:hideMark/>
          </w:tcPr>
          <w:p w14:paraId="71F4FEF5" w14:textId="77777777" w:rsidR="00F24287" w:rsidRPr="00944F24" w:rsidRDefault="00F24287" w:rsidP="00881E77">
            <w:pPr>
              <w:spacing w:line="480" w:lineRule="auto"/>
              <w:cnfStyle w:val="100000000000" w:firstRow="1"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n</w:t>
            </w:r>
          </w:p>
        </w:tc>
      </w:tr>
      <w:tr w:rsidR="00F24287" w:rsidRPr="00944F24" w14:paraId="243EA33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3932605D" w14:textId="77777777" w:rsidR="00F24287" w:rsidRPr="00944F24" w:rsidRDefault="00F24287" w:rsidP="00881E77">
            <w:pPr>
              <w:spacing w:line="480" w:lineRule="auto"/>
              <w:rPr>
                <w:color w:val="000000"/>
                <w:lang w:eastAsia="da-DK"/>
              </w:rPr>
            </w:pPr>
            <w:r w:rsidRPr="00944F24">
              <w:rPr>
                <w:color w:val="000000"/>
                <w:lang w:eastAsia="da-DK"/>
              </w:rPr>
              <w:t>Pain from target knee</w:t>
            </w:r>
          </w:p>
        </w:tc>
        <w:tc>
          <w:tcPr>
            <w:tcW w:w="793" w:type="dxa"/>
            <w:hideMark/>
          </w:tcPr>
          <w:p w14:paraId="5CA7968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w:t>
            </w:r>
          </w:p>
        </w:tc>
        <w:tc>
          <w:tcPr>
            <w:tcW w:w="1282" w:type="dxa"/>
            <w:hideMark/>
          </w:tcPr>
          <w:p w14:paraId="244631C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17.1%</w:t>
            </w:r>
          </w:p>
        </w:tc>
        <w:tc>
          <w:tcPr>
            <w:tcW w:w="1621" w:type="dxa"/>
            <w:hideMark/>
          </w:tcPr>
          <w:p w14:paraId="33F0616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27D4A80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r>
      <w:tr w:rsidR="00F24287" w:rsidRPr="00944F24" w14:paraId="7C8B7EC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1208D8FE" w14:textId="77777777" w:rsidR="00F24287" w:rsidRPr="00944F24" w:rsidRDefault="00F24287" w:rsidP="00881E77">
            <w:pPr>
              <w:spacing w:line="480" w:lineRule="auto"/>
              <w:rPr>
                <w:color w:val="000000"/>
                <w:lang w:eastAsia="da-DK"/>
              </w:rPr>
            </w:pPr>
          </w:p>
        </w:tc>
        <w:tc>
          <w:tcPr>
            <w:tcW w:w="793" w:type="dxa"/>
            <w:hideMark/>
          </w:tcPr>
          <w:p w14:paraId="7879317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5C6C382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3EB28BA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62A55A7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w:t>
            </w:r>
          </w:p>
        </w:tc>
      </w:tr>
      <w:tr w:rsidR="00F24287" w:rsidRPr="00944F24" w14:paraId="3F37FF4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0E8BC7C7" w14:textId="77777777" w:rsidR="00F24287" w:rsidRPr="00944F24" w:rsidRDefault="00F24287" w:rsidP="00881E77">
            <w:pPr>
              <w:spacing w:line="480" w:lineRule="auto"/>
              <w:rPr>
                <w:color w:val="000000"/>
                <w:lang w:eastAsia="da-DK"/>
              </w:rPr>
            </w:pPr>
          </w:p>
        </w:tc>
        <w:tc>
          <w:tcPr>
            <w:tcW w:w="793" w:type="dxa"/>
            <w:hideMark/>
          </w:tcPr>
          <w:p w14:paraId="237BE05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625ACC5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505DF1C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3F1261A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13473C1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624943EC" w14:textId="77777777" w:rsidR="00F24287" w:rsidRPr="00944F24" w:rsidRDefault="00F24287" w:rsidP="00881E77">
            <w:pPr>
              <w:spacing w:line="480" w:lineRule="auto"/>
              <w:rPr>
                <w:color w:val="000000"/>
                <w:lang w:eastAsia="da-DK"/>
              </w:rPr>
            </w:pPr>
            <w:r w:rsidRPr="00944F24">
              <w:rPr>
                <w:color w:val="000000"/>
                <w:lang w:eastAsia="da-DK"/>
              </w:rPr>
              <w:t>Other pain from extremity</w:t>
            </w:r>
          </w:p>
        </w:tc>
        <w:tc>
          <w:tcPr>
            <w:tcW w:w="793" w:type="dxa"/>
            <w:hideMark/>
          </w:tcPr>
          <w:p w14:paraId="2FBF9B9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282" w:type="dxa"/>
            <w:hideMark/>
          </w:tcPr>
          <w:p w14:paraId="64C1989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621" w:type="dxa"/>
            <w:hideMark/>
          </w:tcPr>
          <w:p w14:paraId="7206FE4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1555FC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1DE24D8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2ED8208F" w14:textId="77777777" w:rsidR="00F24287" w:rsidRPr="00944F24" w:rsidRDefault="00F24287" w:rsidP="00881E77">
            <w:pPr>
              <w:spacing w:line="480" w:lineRule="auto"/>
              <w:rPr>
                <w:color w:val="000000"/>
                <w:lang w:eastAsia="da-DK"/>
              </w:rPr>
            </w:pPr>
          </w:p>
        </w:tc>
        <w:tc>
          <w:tcPr>
            <w:tcW w:w="793" w:type="dxa"/>
            <w:hideMark/>
          </w:tcPr>
          <w:p w14:paraId="3465D34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4166657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1050567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7510BAF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6EDAD9A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0DC446BA" w14:textId="77777777" w:rsidR="00F24287" w:rsidRPr="00944F24" w:rsidRDefault="00F24287" w:rsidP="00881E77">
            <w:pPr>
              <w:spacing w:line="480" w:lineRule="auto"/>
              <w:rPr>
                <w:color w:val="000000"/>
                <w:lang w:eastAsia="da-DK"/>
              </w:rPr>
            </w:pPr>
          </w:p>
        </w:tc>
        <w:tc>
          <w:tcPr>
            <w:tcW w:w="793" w:type="dxa"/>
            <w:hideMark/>
          </w:tcPr>
          <w:p w14:paraId="3DDA008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6F52DBE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58CC560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320E6F9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6784DEE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5CDCBC8C" w14:textId="77777777" w:rsidR="00F24287" w:rsidRPr="00944F24" w:rsidRDefault="00F24287" w:rsidP="00881E77">
            <w:pPr>
              <w:spacing w:line="480" w:lineRule="auto"/>
              <w:rPr>
                <w:color w:val="000000"/>
                <w:lang w:eastAsia="da-DK"/>
              </w:rPr>
            </w:pPr>
            <w:r w:rsidRPr="00944F24">
              <w:rPr>
                <w:color w:val="000000"/>
                <w:lang w:eastAsia="da-DK"/>
              </w:rPr>
              <w:lastRenderedPageBreak/>
              <w:t xml:space="preserve">Muscle discomfort/pain  </w:t>
            </w:r>
          </w:p>
        </w:tc>
        <w:tc>
          <w:tcPr>
            <w:tcW w:w="793" w:type="dxa"/>
            <w:hideMark/>
          </w:tcPr>
          <w:p w14:paraId="1B3A41D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282" w:type="dxa"/>
            <w:hideMark/>
          </w:tcPr>
          <w:p w14:paraId="24FBCB8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c>
          <w:tcPr>
            <w:tcW w:w="1621" w:type="dxa"/>
            <w:hideMark/>
          </w:tcPr>
          <w:p w14:paraId="6ABC341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512730B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45C09A2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6F69335D" w14:textId="77777777" w:rsidR="00F24287" w:rsidRPr="00944F24" w:rsidRDefault="00F24287" w:rsidP="00881E77">
            <w:pPr>
              <w:spacing w:line="480" w:lineRule="auto"/>
              <w:rPr>
                <w:color w:val="000000"/>
                <w:lang w:eastAsia="da-DK"/>
              </w:rPr>
            </w:pPr>
          </w:p>
        </w:tc>
        <w:tc>
          <w:tcPr>
            <w:tcW w:w="793" w:type="dxa"/>
            <w:hideMark/>
          </w:tcPr>
          <w:p w14:paraId="31E46DF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235CA92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34D2FF8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1DA1081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54C536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08E763D4" w14:textId="77777777" w:rsidR="00F24287" w:rsidRPr="00944F24" w:rsidRDefault="00F24287" w:rsidP="00881E77">
            <w:pPr>
              <w:spacing w:line="480" w:lineRule="auto"/>
              <w:rPr>
                <w:color w:val="000000"/>
                <w:lang w:eastAsia="da-DK"/>
              </w:rPr>
            </w:pPr>
          </w:p>
        </w:tc>
        <w:tc>
          <w:tcPr>
            <w:tcW w:w="793" w:type="dxa"/>
            <w:hideMark/>
          </w:tcPr>
          <w:p w14:paraId="2FED675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41A1B48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739806B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2A46B2F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022428B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0C2917BA" w14:textId="77777777" w:rsidR="00F24287" w:rsidRPr="00944F24" w:rsidRDefault="00F24287" w:rsidP="00881E77">
            <w:pPr>
              <w:spacing w:line="480" w:lineRule="auto"/>
              <w:rPr>
                <w:color w:val="000000"/>
                <w:lang w:eastAsia="da-DK"/>
              </w:rPr>
            </w:pPr>
            <w:r w:rsidRPr="00944F24">
              <w:rPr>
                <w:color w:val="000000"/>
                <w:lang w:eastAsia="da-DK"/>
              </w:rPr>
              <w:t>Sore</w:t>
            </w:r>
          </w:p>
        </w:tc>
        <w:tc>
          <w:tcPr>
            <w:tcW w:w="793" w:type="dxa"/>
            <w:hideMark/>
          </w:tcPr>
          <w:p w14:paraId="1F7FE4C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282" w:type="dxa"/>
            <w:hideMark/>
          </w:tcPr>
          <w:p w14:paraId="0877A41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c>
          <w:tcPr>
            <w:tcW w:w="1621" w:type="dxa"/>
            <w:hideMark/>
          </w:tcPr>
          <w:p w14:paraId="70DE05D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09368B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19D671A3"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403BBDB7" w14:textId="77777777" w:rsidR="00F24287" w:rsidRPr="00944F24" w:rsidRDefault="00F24287" w:rsidP="00881E77">
            <w:pPr>
              <w:spacing w:line="480" w:lineRule="auto"/>
              <w:rPr>
                <w:color w:val="000000"/>
                <w:lang w:eastAsia="da-DK"/>
              </w:rPr>
            </w:pPr>
          </w:p>
        </w:tc>
        <w:tc>
          <w:tcPr>
            <w:tcW w:w="793" w:type="dxa"/>
            <w:hideMark/>
          </w:tcPr>
          <w:p w14:paraId="4EE9F44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004CBCE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1AF8C35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546AA20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6AD48F7B"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52D22932" w14:textId="77777777" w:rsidR="00F24287" w:rsidRPr="00944F24" w:rsidRDefault="00F24287" w:rsidP="00881E77">
            <w:pPr>
              <w:spacing w:line="480" w:lineRule="auto"/>
              <w:rPr>
                <w:color w:val="000000"/>
                <w:lang w:eastAsia="da-DK"/>
              </w:rPr>
            </w:pPr>
          </w:p>
        </w:tc>
        <w:tc>
          <w:tcPr>
            <w:tcW w:w="793" w:type="dxa"/>
            <w:hideMark/>
          </w:tcPr>
          <w:p w14:paraId="638338B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3C24486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56FA9BE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673B590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F75997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77914543" w14:textId="77777777" w:rsidR="00F24287" w:rsidRPr="00944F24" w:rsidRDefault="00F24287" w:rsidP="00881E77">
            <w:pPr>
              <w:spacing w:line="480" w:lineRule="auto"/>
              <w:rPr>
                <w:color w:val="000000"/>
                <w:lang w:eastAsia="da-DK"/>
              </w:rPr>
            </w:pPr>
            <w:r w:rsidRPr="00944F24">
              <w:rPr>
                <w:color w:val="000000"/>
                <w:lang w:eastAsia="da-DK"/>
              </w:rPr>
              <w:t>Burning sensation</w:t>
            </w:r>
          </w:p>
        </w:tc>
        <w:tc>
          <w:tcPr>
            <w:tcW w:w="793" w:type="dxa"/>
            <w:hideMark/>
          </w:tcPr>
          <w:p w14:paraId="1B1B049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282" w:type="dxa"/>
            <w:hideMark/>
          </w:tcPr>
          <w:p w14:paraId="768CDCD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621" w:type="dxa"/>
            <w:hideMark/>
          </w:tcPr>
          <w:p w14:paraId="1500195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3FD8E92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3C8AC7D0"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5D8D66AF" w14:textId="77777777" w:rsidR="00F24287" w:rsidRPr="00944F24" w:rsidRDefault="00F24287" w:rsidP="00881E77">
            <w:pPr>
              <w:spacing w:line="480" w:lineRule="auto"/>
              <w:rPr>
                <w:color w:val="000000"/>
                <w:lang w:eastAsia="da-DK"/>
              </w:rPr>
            </w:pPr>
          </w:p>
        </w:tc>
        <w:tc>
          <w:tcPr>
            <w:tcW w:w="793" w:type="dxa"/>
            <w:hideMark/>
          </w:tcPr>
          <w:p w14:paraId="14A93C8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3B84425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5BF2C78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0BDD1C1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48D24D5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33205845" w14:textId="77777777" w:rsidR="00F24287" w:rsidRPr="00944F24" w:rsidRDefault="00F24287" w:rsidP="00881E77">
            <w:pPr>
              <w:spacing w:line="480" w:lineRule="auto"/>
              <w:rPr>
                <w:color w:val="000000"/>
                <w:lang w:eastAsia="da-DK"/>
              </w:rPr>
            </w:pPr>
          </w:p>
        </w:tc>
        <w:tc>
          <w:tcPr>
            <w:tcW w:w="793" w:type="dxa"/>
            <w:hideMark/>
          </w:tcPr>
          <w:p w14:paraId="7AE7238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104A274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07D12B0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7E6D794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45B6500D"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46ED0301" w14:textId="77777777" w:rsidR="00F24287" w:rsidRPr="00944F24" w:rsidRDefault="00F24287" w:rsidP="00881E77">
            <w:pPr>
              <w:spacing w:line="480" w:lineRule="auto"/>
              <w:rPr>
                <w:color w:val="000000"/>
                <w:lang w:eastAsia="da-DK"/>
              </w:rPr>
            </w:pPr>
            <w:r w:rsidRPr="00944F24">
              <w:rPr>
                <w:color w:val="000000"/>
                <w:lang w:eastAsia="da-DK"/>
              </w:rPr>
              <w:t>Sensation of distension</w:t>
            </w:r>
          </w:p>
        </w:tc>
        <w:tc>
          <w:tcPr>
            <w:tcW w:w="793" w:type="dxa"/>
            <w:hideMark/>
          </w:tcPr>
          <w:p w14:paraId="0D990A6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15</w:t>
            </w:r>
          </w:p>
        </w:tc>
        <w:tc>
          <w:tcPr>
            <w:tcW w:w="1282" w:type="dxa"/>
            <w:hideMark/>
          </w:tcPr>
          <w:p w14:paraId="43306DA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36.6%</w:t>
            </w:r>
          </w:p>
        </w:tc>
        <w:tc>
          <w:tcPr>
            <w:tcW w:w="1621" w:type="dxa"/>
            <w:hideMark/>
          </w:tcPr>
          <w:p w14:paraId="33EC6D6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02DBCF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6</w:t>
            </w:r>
          </w:p>
        </w:tc>
      </w:tr>
      <w:tr w:rsidR="00F24287" w:rsidRPr="00944F24" w14:paraId="0BA065E9"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7E29EF24" w14:textId="77777777" w:rsidR="00F24287" w:rsidRPr="00944F24" w:rsidRDefault="00F24287" w:rsidP="00881E77">
            <w:pPr>
              <w:spacing w:line="480" w:lineRule="auto"/>
              <w:rPr>
                <w:color w:val="000000"/>
                <w:lang w:eastAsia="da-DK"/>
              </w:rPr>
            </w:pPr>
          </w:p>
        </w:tc>
        <w:tc>
          <w:tcPr>
            <w:tcW w:w="793" w:type="dxa"/>
            <w:hideMark/>
          </w:tcPr>
          <w:p w14:paraId="29C831E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002F9EF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3DF27C7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1A9CC78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8</w:t>
            </w:r>
          </w:p>
        </w:tc>
      </w:tr>
      <w:tr w:rsidR="00F24287" w:rsidRPr="00944F24" w14:paraId="71704B5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23724E86" w14:textId="77777777" w:rsidR="00F24287" w:rsidRPr="00944F24" w:rsidRDefault="00F24287" w:rsidP="00881E77">
            <w:pPr>
              <w:spacing w:line="480" w:lineRule="auto"/>
              <w:rPr>
                <w:color w:val="000000"/>
                <w:lang w:eastAsia="da-DK"/>
              </w:rPr>
            </w:pPr>
          </w:p>
        </w:tc>
        <w:tc>
          <w:tcPr>
            <w:tcW w:w="793" w:type="dxa"/>
            <w:hideMark/>
          </w:tcPr>
          <w:p w14:paraId="733B2AF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3FEC401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65637DA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34D884E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157FB9C7"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7C07413D" w14:textId="77777777" w:rsidR="00F24287" w:rsidRPr="00944F24" w:rsidRDefault="00F24287" w:rsidP="00881E77">
            <w:pPr>
              <w:spacing w:line="480" w:lineRule="auto"/>
              <w:rPr>
                <w:color w:val="000000"/>
                <w:lang w:eastAsia="da-DK"/>
              </w:rPr>
            </w:pPr>
            <w:r w:rsidRPr="00944F24">
              <w:rPr>
                <w:color w:val="000000"/>
                <w:lang w:eastAsia="da-DK"/>
              </w:rPr>
              <w:t>Skin or joint pricking sensation</w:t>
            </w:r>
          </w:p>
        </w:tc>
        <w:tc>
          <w:tcPr>
            <w:tcW w:w="793" w:type="dxa"/>
            <w:hideMark/>
          </w:tcPr>
          <w:p w14:paraId="3D5EAC1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3</w:t>
            </w:r>
          </w:p>
        </w:tc>
        <w:tc>
          <w:tcPr>
            <w:tcW w:w="1282" w:type="dxa"/>
            <w:hideMark/>
          </w:tcPr>
          <w:p w14:paraId="73FC834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7.3%</w:t>
            </w:r>
          </w:p>
        </w:tc>
        <w:tc>
          <w:tcPr>
            <w:tcW w:w="1621" w:type="dxa"/>
            <w:hideMark/>
          </w:tcPr>
          <w:p w14:paraId="39446ED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15C1AE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6F91935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6006B5D2" w14:textId="77777777" w:rsidR="00F24287" w:rsidRPr="00944F24" w:rsidRDefault="00F24287" w:rsidP="00881E77">
            <w:pPr>
              <w:spacing w:line="480" w:lineRule="auto"/>
              <w:rPr>
                <w:color w:val="000000"/>
                <w:lang w:eastAsia="da-DK"/>
              </w:rPr>
            </w:pPr>
          </w:p>
        </w:tc>
        <w:tc>
          <w:tcPr>
            <w:tcW w:w="793" w:type="dxa"/>
            <w:hideMark/>
          </w:tcPr>
          <w:p w14:paraId="7C7A31C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76D455C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4AEB1C2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38A3661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488C1420"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3ECD8562" w14:textId="77777777" w:rsidR="00F24287" w:rsidRPr="00944F24" w:rsidRDefault="00F24287" w:rsidP="00881E77">
            <w:pPr>
              <w:spacing w:line="480" w:lineRule="auto"/>
              <w:rPr>
                <w:color w:val="000000"/>
                <w:lang w:eastAsia="da-DK"/>
              </w:rPr>
            </w:pPr>
          </w:p>
        </w:tc>
        <w:tc>
          <w:tcPr>
            <w:tcW w:w="793" w:type="dxa"/>
            <w:hideMark/>
          </w:tcPr>
          <w:p w14:paraId="6D82DD4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50702DC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7A9A347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08DAAF8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3E88DCBA"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40ECD9CE" w14:textId="77777777" w:rsidR="00F24287" w:rsidRPr="00944F24" w:rsidRDefault="00F24287" w:rsidP="00881E77">
            <w:pPr>
              <w:spacing w:line="480" w:lineRule="auto"/>
              <w:rPr>
                <w:color w:val="000000"/>
                <w:lang w:eastAsia="da-DK"/>
              </w:rPr>
            </w:pPr>
            <w:r w:rsidRPr="00944F24">
              <w:rPr>
                <w:color w:val="000000"/>
                <w:lang w:eastAsia="da-DK"/>
              </w:rPr>
              <w:t>Numbness</w:t>
            </w:r>
          </w:p>
        </w:tc>
        <w:tc>
          <w:tcPr>
            <w:tcW w:w="793" w:type="dxa"/>
            <w:hideMark/>
          </w:tcPr>
          <w:p w14:paraId="596C86E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282" w:type="dxa"/>
            <w:hideMark/>
          </w:tcPr>
          <w:p w14:paraId="3381432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621" w:type="dxa"/>
            <w:hideMark/>
          </w:tcPr>
          <w:p w14:paraId="00FA488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CBDF5B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7C5005B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2388B017" w14:textId="77777777" w:rsidR="00F24287" w:rsidRPr="00944F24" w:rsidRDefault="00F24287" w:rsidP="00881E77">
            <w:pPr>
              <w:spacing w:line="480" w:lineRule="auto"/>
              <w:rPr>
                <w:color w:val="000000"/>
                <w:lang w:eastAsia="da-DK"/>
              </w:rPr>
            </w:pPr>
          </w:p>
        </w:tc>
        <w:tc>
          <w:tcPr>
            <w:tcW w:w="793" w:type="dxa"/>
            <w:hideMark/>
          </w:tcPr>
          <w:p w14:paraId="4DD81C5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76C472C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6974EE9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45F2526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98C64F8"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24F7540F" w14:textId="77777777" w:rsidR="00F24287" w:rsidRPr="00944F24" w:rsidRDefault="00F24287" w:rsidP="00881E77">
            <w:pPr>
              <w:spacing w:line="480" w:lineRule="auto"/>
              <w:rPr>
                <w:color w:val="000000"/>
                <w:lang w:eastAsia="da-DK"/>
              </w:rPr>
            </w:pPr>
          </w:p>
        </w:tc>
        <w:tc>
          <w:tcPr>
            <w:tcW w:w="793" w:type="dxa"/>
            <w:hideMark/>
          </w:tcPr>
          <w:p w14:paraId="3F60878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753D570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4D41B9A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6D7D435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4D34283"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1A0A89B0" w14:textId="77777777" w:rsidR="00F24287" w:rsidRPr="00944F24" w:rsidRDefault="00F24287" w:rsidP="00881E77">
            <w:pPr>
              <w:spacing w:line="480" w:lineRule="auto"/>
              <w:rPr>
                <w:color w:val="000000"/>
                <w:lang w:eastAsia="da-DK"/>
              </w:rPr>
            </w:pPr>
            <w:r w:rsidRPr="00944F24">
              <w:rPr>
                <w:color w:val="000000"/>
                <w:lang w:eastAsia="da-DK"/>
              </w:rPr>
              <w:t>Cold sensation</w:t>
            </w:r>
          </w:p>
        </w:tc>
        <w:tc>
          <w:tcPr>
            <w:tcW w:w="793" w:type="dxa"/>
            <w:hideMark/>
          </w:tcPr>
          <w:p w14:paraId="2150E7B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282" w:type="dxa"/>
            <w:hideMark/>
          </w:tcPr>
          <w:p w14:paraId="37D591C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621" w:type="dxa"/>
            <w:hideMark/>
          </w:tcPr>
          <w:p w14:paraId="17471BC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1E022F0A"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46139991"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47AB780D" w14:textId="77777777" w:rsidR="00F24287" w:rsidRPr="00944F24" w:rsidRDefault="00F24287" w:rsidP="00881E77">
            <w:pPr>
              <w:spacing w:line="480" w:lineRule="auto"/>
              <w:rPr>
                <w:color w:val="000000"/>
                <w:lang w:eastAsia="da-DK"/>
              </w:rPr>
            </w:pPr>
          </w:p>
        </w:tc>
        <w:tc>
          <w:tcPr>
            <w:tcW w:w="793" w:type="dxa"/>
            <w:hideMark/>
          </w:tcPr>
          <w:p w14:paraId="18296A1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07D8706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155D6DD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3C4BE16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0DB644A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78F72564" w14:textId="77777777" w:rsidR="00F24287" w:rsidRPr="00944F24" w:rsidRDefault="00F24287" w:rsidP="00881E77">
            <w:pPr>
              <w:spacing w:line="480" w:lineRule="auto"/>
              <w:rPr>
                <w:color w:val="000000"/>
                <w:lang w:eastAsia="da-DK"/>
              </w:rPr>
            </w:pPr>
          </w:p>
        </w:tc>
        <w:tc>
          <w:tcPr>
            <w:tcW w:w="793" w:type="dxa"/>
            <w:hideMark/>
          </w:tcPr>
          <w:p w14:paraId="3C6265B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25E5D99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7DD9CFE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2809741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01CEB39D"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2473C4E2" w14:textId="77777777" w:rsidR="00F24287" w:rsidRPr="00944F24" w:rsidRDefault="00F24287" w:rsidP="00881E77">
            <w:pPr>
              <w:spacing w:line="480" w:lineRule="auto"/>
              <w:rPr>
                <w:color w:val="000000"/>
                <w:lang w:eastAsia="da-DK"/>
              </w:rPr>
            </w:pPr>
            <w:r w:rsidRPr="00944F24">
              <w:rPr>
                <w:color w:val="000000"/>
                <w:lang w:eastAsia="da-DK"/>
              </w:rPr>
              <w:t>Heat sensation</w:t>
            </w:r>
          </w:p>
        </w:tc>
        <w:tc>
          <w:tcPr>
            <w:tcW w:w="793" w:type="dxa"/>
            <w:hideMark/>
          </w:tcPr>
          <w:p w14:paraId="0854D74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c>
          <w:tcPr>
            <w:tcW w:w="1282" w:type="dxa"/>
            <w:hideMark/>
          </w:tcPr>
          <w:p w14:paraId="39D2F1E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2.4%</w:t>
            </w:r>
          </w:p>
        </w:tc>
        <w:tc>
          <w:tcPr>
            <w:tcW w:w="1621" w:type="dxa"/>
            <w:hideMark/>
          </w:tcPr>
          <w:p w14:paraId="6C97904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0D86A75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72AE0C3C"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71CD3CF0" w14:textId="77777777" w:rsidR="00F24287" w:rsidRPr="00944F24" w:rsidRDefault="00F24287" w:rsidP="00881E77">
            <w:pPr>
              <w:spacing w:line="480" w:lineRule="auto"/>
              <w:rPr>
                <w:color w:val="000000"/>
                <w:lang w:eastAsia="da-DK"/>
              </w:rPr>
            </w:pPr>
          </w:p>
        </w:tc>
        <w:tc>
          <w:tcPr>
            <w:tcW w:w="793" w:type="dxa"/>
            <w:hideMark/>
          </w:tcPr>
          <w:p w14:paraId="69A7B82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62508F6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479A371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02402A9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6BACB050"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1A185AE7" w14:textId="77777777" w:rsidR="00F24287" w:rsidRPr="00944F24" w:rsidRDefault="00F24287" w:rsidP="00881E77">
            <w:pPr>
              <w:spacing w:line="480" w:lineRule="auto"/>
              <w:rPr>
                <w:color w:val="000000"/>
                <w:lang w:eastAsia="da-DK"/>
              </w:rPr>
            </w:pPr>
          </w:p>
        </w:tc>
        <w:tc>
          <w:tcPr>
            <w:tcW w:w="793" w:type="dxa"/>
            <w:hideMark/>
          </w:tcPr>
          <w:p w14:paraId="3364192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2224A5D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72FBBC7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3E7A0F60"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5EFC64DF"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5AF4D01E" w14:textId="77777777" w:rsidR="00F24287" w:rsidRPr="00944F24" w:rsidRDefault="00F24287" w:rsidP="00881E77">
            <w:pPr>
              <w:spacing w:line="480" w:lineRule="auto"/>
              <w:rPr>
                <w:color w:val="000000"/>
                <w:lang w:eastAsia="da-DK"/>
              </w:rPr>
            </w:pPr>
            <w:r w:rsidRPr="00944F24">
              <w:rPr>
                <w:color w:val="000000"/>
                <w:lang w:eastAsia="da-DK"/>
              </w:rPr>
              <w:t>Reduced range of motion</w:t>
            </w:r>
          </w:p>
        </w:tc>
        <w:tc>
          <w:tcPr>
            <w:tcW w:w="793" w:type="dxa"/>
            <w:hideMark/>
          </w:tcPr>
          <w:p w14:paraId="7CE0EDD4"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w:t>
            </w:r>
          </w:p>
        </w:tc>
        <w:tc>
          <w:tcPr>
            <w:tcW w:w="1282" w:type="dxa"/>
            <w:hideMark/>
          </w:tcPr>
          <w:p w14:paraId="5C10E38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9.8%</w:t>
            </w:r>
          </w:p>
        </w:tc>
        <w:tc>
          <w:tcPr>
            <w:tcW w:w="1621" w:type="dxa"/>
            <w:hideMark/>
          </w:tcPr>
          <w:p w14:paraId="0EF5F2F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0C777CD3"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7763975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13B69E06" w14:textId="77777777" w:rsidR="00F24287" w:rsidRPr="00944F24" w:rsidRDefault="00F24287" w:rsidP="00881E77">
            <w:pPr>
              <w:spacing w:line="480" w:lineRule="auto"/>
              <w:rPr>
                <w:color w:val="000000"/>
                <w:lang w:eastAsia="da-DK"/>
              </w:rPr>
            </w:pPr>
          </w:p>
        </w:tc>
        <w:tc>
          <w:tcPr>
            <w:tcW w:w="793" w:type="dxa"/>
            <w:hideMark/>
          </w:tcPr>
          <w:p w14:paraId="5FD90BF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24AC0C7F"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776825D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7180DB2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r>
      <w:tr w:rsidR="00F24287" w:rsidRPr="00944F24" w14:paraId="76FF9DE5"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42B2E044" w14:textId="77777777" w:rsidR="00F24287" w:rsidRPr="00944F24" w:rsidRDefault="00F24287" w:rsidP="00881E77">
            <w:pPr>
              <w:spacing w:line="480" w:lineRule="auto"/>
              <w:rPr>
                <w:color w:val="000000"/>
                <w:lang w:eastAsia="da-DK"/>
              </w:rPr>
            </w:pPr>
          </w:p>
        </w:tc>
        <w:tc>
          <w:tcPr>
            <w:tcW w:w="793" w:type="dxa"/>
            <w:hideMark/>
          </w:tcPr>
          <w:p w14:paraId="635278ED"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6DF60F56"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13B73E05"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77D30F5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2C4E3452"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hideMark/>
          </w:tcPr>
          <w:p w14:paraId="4759439E" w14:textId="77777777" w:rsidR="00F24287" w:rsidRPr="00944F24" w:rsidRDefault="00F24287" w:rsidP="00881E77">
            <w:pPr>
              <w:spacing w:line="480" w:lineRule="auto"/>
              <w:rPr>
                <w:color w:val="000000"/>
                <w:lang w:eastAsia="da-DK"/>
              </w:rPr>
            </w:pPr>
            <w:r w:rsidRPr="00944F24">
              <w:rPr>
                <w:color w:val="000000"/>
                <w:lang w:eastAsia="da-DK"/>
              </w:rPr>
              <w:t>Stiffness</w:t>
            </w:r>
          </w:p>
        </w:tc>
        <w:tc>
          <w:tcPr>
            <w:tcW w:w="793" w:type="dxa"/>
            <w:hideMark/>
          </w:tcPr>
          <w:p w14:paraId="4683CDC1"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2</w:t>
            </w:r>
          </w:p>
        </w:tc>
        <w:tc>
          <w:tcPr>
            <w:tcW w:w="1282" w:type="dxa"/>
            <w:hideMark/>
          </w:tcPr>
          <w:p w14:paraId="49793849"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4.9%</w:t>
            </w:r>
          </w:p>
        </w:tc>
        <w:tc>
          <w:tcPr>
            <w:tcW w:w="1621" w:type="dxa"/>
            <w:hideMark/>
          </w:tcPr>
          <w:p w14:paraId="4A7113D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Days</w:t>
            </w:r>
          </w:p>
        </w:tc>
        <w:tc>
          <w:tcPr>
            <w:tcW w:w="1604" w:type="dxa"/>
            <w:hideMark/>
          </w:tcPr>
          <w:p w14:paraId="6F124E2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r>
      <w:tr w:rsidR="00F24287" w:rsidRPr="00944F24" w14:paraId="0A71884E"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4F3A0022" w14:textId="77777777" w:rsidR="00F24287" w:rsidRPr="00944F24" w:rsidRDefault="00F24287" w:rsidP="00881E77">
            <w:pPr>
              <w:spacing w:line="480" w:lineRule="auto"/>
              <w:rPr>
                <w:color w:val="000000"/>
                <w:lang w:eastAsia="da-DK"/>
              </w:rPr>
            </w:pPr>
          </w:p>
        </w:tc>
        <w:tc>
          <w:tcPr>
            <w:tcW w:w="793" w:type="dxa"/>
            <w:hideMark/>
          </w:tcPr>
          <w:p w14:paraId="7F240A17"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24A40A38"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4428D58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Weeks</w:t>
            </w:r>
          </w:p>
        </w:tc>
        <w:tc>
          <w:tcPr>
            <w:tcW w:w="1604" w:type="dxa"/>
            <w:hideMark/>
          </w:tcPr>
          <w:p w14:paraId="6D950F1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r w:rsidR="00F24287" w:rsidRPr="00944F24" w14:paraId="2F1D3599" w14:textId="77777777" w:rsidTr="006879DA">
        <w:trPr>
          <w:trHeight w:val="300"/>
          <w:jc w:val="center"/>
        </w:trPr>
        <w:tc>
          <w:tcPr>
            <w:cnfStyle w:val="001000000000" w:firstRow="0" w:lastRow="0" w:firstColumn="1" w:lastColumn="0" w:oddVBand="0" w:evenVBand="0" w:oddHBand="0" w:evenHBand="0" w:firstRowFirstColumn="0" w:firstRowLastColumn="0" w:lastRowFirstColumn="0" w:lastRowLastColumn="0"/>
            <w:tcW w:w="3562" w:type="dxa"/>
          </w:tcPr>
          <w:p w14:paraId="4086D7CD" w14:textId="77777777" w:rsidR="00F24287" w:rsidRPr="00944F24" w:rsidRDefault="00F24287" w:rsidP="00881E77">
            <w:pPr>
              <w:spacing w:line="480" w:lineRule="auto"/>
              <w:rPr>
                <w:color w:val="000000"/>
                <w:lang w:eastAsia="da-DK"/>
              </w:rPr>
            </w:pPr>
          </w:p>
        </w:tc>
        <w:tc>
          <w:tcPr>
            <w:tcW w:w="793" w:type="dxa"/>
            <w:hideMark/>
          </w:tcPr>
          <w:p w14:paraId="1011A78C"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282" w:type="dxa"/>
            <w:hideMark/>
          </w:tcPr>
          <w:p w14:paraId="105551B2"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p>
        </w:tc>
        <w:tc>
          <w:tcPr>
            <w:tcW w:w="1621" w:type="dxa"/>
            <w:hideMark/>
          </w:tcPr>
          <w:p w14:paraId="342BD71B"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lang w:eastAsia="da-DK"/>
              </w:rPr>
              <w:t>Months</w:t>
            </w:r>
          </w:p>
        </w:tc>
        <w:tc>
          <w:tcPr>
            <w:tcW w:w="1604" w:type="dxa"/>
            <w:hideMark/>
          </w:tcPr>
          <w:p w14:paraId="10E7FE8E" w14:textId="77777777" w:rsidR="00F24287" w:rsidRPr="00944F24" w:rsidRDefault="00F24287" w:rsidP="00881E7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da-DK"/>
              </w:rPr>
            </w:pPr>
            <w:r w:rsidRPr="00944F24">
              <w:rPr>
                <w:color w:val="000000"/>
              </w:rPr>
              <w:t>1</w:t>
            </w:r>
          </w:p>
        </w:tc>
      </w:tr>
    </w:tbl>
    <w:p w14:paraId="0E9E0846" w14:textId="77777777" w:rsidR="00F24287" w:rsidRPr="00944F24" w:rsidRDefault="00F24287" w:rsidP="00881E77">
      <w:pPr>
        <w:spacing w:after="0" w:line="480" w:lineRule="auto"/>
        <w:rPr>
          <w:lang w:val="en-GB"/>
        </w:rPr>
      </w:pPr>
    </w:p>
    <w:p w14:paraId="5FB0292A" w14:textId="77777777" w:rsidR="00F24287" w:rsidRPr="00944F24" w:rsidRDefault="00F24287" w:rsidP="00881E77">
      <w:pPr>
        <w:spacing w:after="0" w:line="480" w:lineRule="auto"/>
        <w:rPr>
          <w:lang w:val="en-GB"/>
        </w:rPr>
      </w:pPr>
    </w:p>
    <w:p w14:paraId="042811E5" w14:textId="77777777" w:rsidR="00F24287" w:rsidRPr="00944F24" w:rsidRDefault="00F24287" w:rsidP="00807B12">
      <w:pPr>
        <w:spacing w:after="0" w:line="480" w:lineRule="auto"/>
        <w:rPr>
          <w:lang w:val="en-GB"/>
        </w:rPr>
      </w:pPr>
    </w:p>
    <w:sectPr w:rsidR="00F24287" w:rsidRPr="00944F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b92eb7df.I">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F3"/>
    <w:rsid w:val="00023AC9"/>
    <w:rsid w:val="00027110"/>
    <w:rsid w:val="00045C5D"/>
    <w:rsid w:val="00050BB9"/>
    <w:rsid w:val="000526C3"/>
    <w:rsid w:val="0005378C"/>
    <w:rsid w:val="00066AAC"/>
    <w:rsid w:val="00071025"/>
    <w:rsid w:val="00073114"/>
    <w:rsid w:val="000D077C"/>
    <w:rsid w:val="000D44E9"/>
    <w:rsid w:val="00144E00"/>
    <w:rsid w:val="00174372"/>
    <w:rsid w:val="00191305"/>
    <w:rsid w:val="00192CFC"/>
    <w:rsid w:val="001A1B64"/>
    <w:rsid w:val="001E090A"/>
    <w:rsid w:val="001E534A"/>
    <w:rsid w:val="001F395D"/>
    <w:rsid w:val="001F7070"/>
    <w:rsid w:val="00227F82"/>
    <w:rsid w:val="002342F7"/>
    <w:rsid w:val="00240126"/>
    <w:rsid w:val="00256772"/>
    <w:rsid w:val="00257E62"/>
    <w:rsid w:val="002600F5"/>
    <w:rsid w:val="002636C9"/>
    <w:rsid w:val="00263879"/>
    <w:rsid w:val="00263A8D"/>
    <w:rsid w:val="00275835"/>
    <w:rsid w:val="00287AEC"/>
    <w:rsid w:val="002B4829"/>
    <w:rsid w:val="002C53AE"/>
    <w:rsid w:val="003058E3"/>
    <w:rsid w:val="00323640"/>
    <w:rsid w:val="00326262"/>
    <w:rsid w:val="0034172C"/>
    <w:rsid w:val="00355214"/>
    <w:rsid w:val="003600F4"/>
    <w:rsid w:val="003618A8"/>
    <w:rsid w:val="0039003E"/>
    <w:rsid w:val="00392FDD"/>
    <w:rsid w:val="00395B79"/>
    <w:rsid w:val="003A01BD"/>
    <w:rsid w:val="003F0C11"/>
    <w:rsid w:val="00433B84"/>
    <w:rsid w:val="00471D06"/>
    <w:rsid w:val="00477927"/>
    <w:rsid w:val="00481271"/>
    <w:rsid w:val="004D0CBA"/>
    <w:rsid w:val="004E3E84"/>
    <w:rsid w:val="004E7FDC"/>
    <w:rsid w:val="004F742F"/>
    <w:rsid w:val="00512050"/>
    <w:rsid w:val="00527FF0"/>
    <w:rsid w:val="005420CB"/>
    <w:rsid w:val="00545CF7"/>
    <w:rsid w:val="00557670"/>
    <w:rsid w:val="00560E34"/>
    <w:rsid w:val="0057388A"/>
    <w:rsid w:val="00574325"/>
    <w:rsid w:val="005818D2"/>
    <w:rsid w:val="005B2B01"/>
    <w:rsid w:val="005C4353"/>
    <w:rsid w:val="005C4C60"/>
    <w:rsid w:val="005E5EDC"/>
    <w:rsid w:val="006005EE"/>
    <w:rsid w:val="0060217D"/>
    <w:rsid w:val="00605BF3"/>
    <w:rsid w:val="00606F16"/>
    <w:rsid w:val="00616BBD"/>
    <w:rsid w:val="00620080"/>
    <w:rsid w:val="0065110B"/>
    <w:rsid w:val="00657187"/>
    <w:rsid w:val="006879DA"/>
    <w:rsid w:val="006A51FB"/>
    <w:rsid w:val="006D5799"/>
    <w:rsid w:val="007245A4"/>
    <w:rsid w:val="0076657A"/>
    <w:rsid w:val="00791B02"/>
    <w:rsid w:val="00794456"/>
    <w:rsid w:val="007C180C"/>
    <w:rsid w:val="007C599B"/>
    <w:rsid w:val="007D1706"/>
    <w:rsid w:val="007D2738"/>
    <w:rsid w:val="007E64C1"/>
    <w:rsid w:val="008057BC"/>
    <w:rsid w:val="00807B12"/>
    <w:rsid w:val="00833C63"/>
    <w:rsid w:val="00841631"/>
    <w:rsid w:val="00863D32"/>
    <w:rsid w:val="00881E77"/>
    <w:rsid w:val="0089700B"/>
    <w:rsid w:val="008B2E63"/>
    <w:rsid w:val="008B4FC7"/>
    <w:rsid w:val="008B70BE"/>
    <w:rsid w:val="008E6F53"/>
    <w:rsid w:val="00900A60"/>
    <w:rsid w:val="00922FD3"/>
    <w:rsid w:val="00924713"/>
    <w:rsid w:val="00933582"/>
    <w:rsid w:val="00941843"/>
    <w:rsid w:val="00944F24"/>
    <w:rsid w:val="009618EB"/>
    <w:rsid w:val="00967ACC"/>
    <w:rsid w:val="00970C84"/>
    <w:rsid w:val="00997EE2"/>
    <w:rsid w:val="009C255F"/>
    <w:rsid w:val="009D799E"/>
    <w:rsid w:val="009E3C32"/>
    <w:rsid w:val="00A20A8E"/>
    <w:rsid w:val="00A47130"/>
    <w:rsid w:val="00A744AB"/>
    <w:rsid w:val="00A921E2"/>
    <w:rsid w:val="00A954B1"/>
    <w:rsid w:val="00AB0E4B"/>
    <w:rsid w:val="00AC3FE0"/>
    <w:rsid w:val="00AD5060"/>
    <w:rsid w:val="00AE4AE1"/>
    <w:rsid w:val="00B13C2D"/>
    <w:rsid w:val="00B322E8"/>
    <w:rsid w:val="00B361BD"/>
    <w:rsid w:val="00B37AC6"/>
    <w:rsid w:val="00B46807"/>
    <w:rsid w:val="00B6307C"/>
    <w:rsid w:val="00B85275"/>
    <w:rsid w:val="00BD379A"/>
    <w:rsid w:val="00C44DF7"/>
    <w:rsid w:val="00C64BAC"/>
    <w:rsid w:val="00C70D77"/>
    <w:rsid w:val="00C72002"/>
    <w:rsid w:val="00C72B18"/>
    <w:rsid w:val="00C86A50"/>
    <w:rsid w:val="00CD3675"/>
    <w:rsid w:val="00CF4294"/>
    <w:rsid w:val="00CF46EF"/>
    <w:rsid w:val="00CF48E0"/>
    <w:rsid w:val="00CF545D"/>
    <w:rsid w:val="00CF624B"/>
    <w:rsid w:val="00D0364E"/>
    <w:rsid w:val="00D34F96"/>
    <w:rsid w:val="00D37ACB"/>
    <w:rsid w:val="00D56957"/>
    <w:rsid w:val="00D6447B"/>
    <w:rsid w:val="00D70AE9"/>
    <w:rsid w:val="00D964A9"/>
    <w:rsid w:val="00D97CEB"/>
    <w:rsid w:val="00DA7089"/>
    <w:rsid w:val="00DC4267"/>
    <w:rsid w:val="00DD6DCE"/>
    <w:rsid w:val="00DF5C30"/>
    <w:rsid w:val="00DF7C3A"/>
    <w:rsid w:val="00E0044E"/>
    <w:rsid w:val="00E06A3F"/>
    <w:rsid w:val="00E21A29"/>
    <w:rsid w:val="00E27EC4"/>
    <w:rsid w:val="00E34CF3"/>
    <w:rsid w:val="00E4082F"/>
    <w:rsid w:val="00E6699D"/>
    <w:rsid w:val="00E77046"/>
    <w:rsid w:val="00E94A53"/>
    <w:rsid w:val="00E96112"/>
    <w:rsid w:val="00EA2A1D"/>
    <w:rsid w:val="00ED23C7"/>
    <w:rsid w:val="00EE41D9"/>
    <w:rsid w:val="00F24287"/>
    <w:rsid w:val="00F55CC5"/>
    <w:rsid w:val="00F57A2D"/>
    <w:rsid w:val="00F76D49"/>
    <w:rsid w:val="00F82F69"/>
    <w:rsid w:val="00F959AD"/>
    <w:rsid w:val="00F979C7"/>
    <w:rsid w:val="00FA5410"/>
    <w:rsid w:val="00FA7859"/>
    <w:rsid w:val="00FD45F1"/>
    <w:rsid w:val="00FF66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0177"/>
  <w15:docId w15:val="{E329B67A-6954-49EF-BE6B-02EB2A5F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8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A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link w:val="Overskrift3Tegn"/>
    <w:uiPriority w:val="9"/>
    <w:qFormat/>
    <w:rsid w:val="00881E77"/>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next w:val="Normal"/>
    <w:link w:val="Overskrift4Tegn"/>
    <w:uiPriority w:val="9"/>
    <w:semiHidden/>
    <w:unhideWhenUsed/>
    <w:qFormat/>
    <w:rsid w:val="00066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B361BD"/>
    <w:pPr>
      <w:autoSpaceDE w:val="0"/>
      <w:autoSpaceDN w:val="0"/>
      <w:adjustRightInd w:val="0"/>
      <w:spacing w:after="0" w:line="240" w:lineRule="auto"/>
    </w:pPr>
    <w:rPr>
      <w:rFonts w:ascii="Arial" w:hAnsi="Arial" w:cs="Arial"/>
      <w:color w:val="000000"/>
      <w:sz w:val="24"/>
      <w:szCs w:val="24"/>
    </w:rPr>
  </w:style>
  <w:style w:type="paragraph" w:styleId="Markeringsbobletekst">
    <w:name w:val="Balloon Text"/>
    <w:basedOn w:val="Normal"/>
    <w:link w:val="MarkeringsbobletekstTegn"/>
    <w:uiPriority w:val="99"/>
    <w:semiHidden/>
    <w:unhideWhenUsed/>
    <w:rsid w:val="00616BB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6BBD"/>
    <w:rPr>
      <w:rFonts w:ascii="Tahoma" w:hAnsi="Tahoma" w:cs="Tahoma"/>
      <w:sz w:val="16"/>
      <w:szCs w:val="16"/>
    </w:rPr>
  </w:style>
  <w:style w:type="table" w:styleId="Tabel-Klassisk1">
    <w:name w:val="Table Classic 1"/>
    <w:basedOn w:val="Tabel-Normal"/>
    <w:rsid w:val="00F24287"/>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Kommentarhenvisning">
    <w:name w:val="annotation reference"/>
    <w:basedOn w:val="Standardskrifttypeiafsnit"/>
    <w:uiPriority w:val="99"/>
    <w:semiHidden/>
    <w:unhideWhenUsed/>
    <w:rsid w:val="006879DA"/>
    <w:rPr>
      <w:sz w:val="16"/>
      <w:szCs w:val="16"/>
    </w:rPr>
  </w:style>
  <w:style w:type="paragraph" w:styleId="Kommentartekst">
    <w:name w:val="annotation text"/>
    <w:basedOn w:val="Normal"/>
    <w:link w:val="KommentartekstTegn"/>
    <w:uiPriority w:val="99"/>
    <w:semiHidden/>
    <w:unhideWhenUsed/>
    <w:rsid w:val="006879D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879DA"/>
    <w:rPr>
      <w:sz w:val="20"/>
      <w:szCs w:val="20"/>
    </w:rPr>
  </w:style>
  <w:style w:type="paragraph" w:styleId="Kommentaremne">
    <w:name w:val="annotation subject"/>
    <w:basedOn w:val="Kommentartekst"/>
    <w:next w:val="Kommentartekst"/>
    <w:link w:val="KommentaremneTegn"/>
    <w:uiPriority w:val="99"/>
    <w:semiHidden/>
    <w:unhideWhenUsed/>
    <w:rsid w:val="006879DA"/>
    <w:rPr>
      <w:b/>
      <w:bCs/>
    </w:rPr>
  </w:style>
  <w:style w:type="character" w:customStyle="1" w:styleId="KommentaremneTegn">
    <w:name w:val="Kommentaremne Tegn"/>
    <w:basedOn w:val="KommentartekstTegn"/>
    <w:link w:val="Kommentaremne"/>
    <w:uiPriority w:val="99"/>
    <w:semiHidden/>
    <w:rsid w:val="006879DA"/>
    <w:rPr>
      <w:b/>
      <w:bCs/>
      <w:sz w:val="20"/>
      <w:szCs w:val="20"/>
    </w:rPr>
  </w:style>
  <w:style w:type="paragraph" w:styleId="Korrektur">
    <w:name w:val="Revision"/>
    <w:hidden/>
    <w:uiPriority w:val="99"/>
    <w:semiHidden/>
    <w:rsid w:val="00CF624B"/>
    <w:pPr>
      <w:spacing w:after="0" w:line="240" w:lineRule="auto"/>
    </w:pPr>
  </w:style>
  <w:style w:type="paragraph" w:styleId="NormalWeb">
    <w:name w:val="Normal (Web)"/>
    <w:basedOn w:val="Normal"/>
    <w:uiPriority w:val="99"/>
    <w:unhideWhenUsed/>
    <w:rsid w:val="00045C5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refauthors">
    <w:name w:val="refauthors"/>
    <w:basedOn w:val="Standardskrifttypeiafsnit"/>
    <w:rsid w:val="007D2738"/>
  </w:style>
  <w:style w:type="character" w:customStyle="1" w:styleId="reftitle">
    <w:name w:val="reftitle"/>
    <w:basedOn w:val="Standardskrifttypeiafsnit"/>
    <w:rsid w:val="007D2738"/>
  </w:style>
  <w:style w:type="character" w:customStyle="1" w:styleId="refcomment">
    <w:name w:val="refcomment"/>
    <w:basedOn w:val="Standardskrifttypeiafsnit"/>
    <w:rsid w:val="007D2738"/>
  </w:style>
  <w:style w:type="character" w:customStyle="1" w:styleId="refseriestitle">
    <w:name w:val="refseriestitle"/>
    <w:basedOn w:val="Standardskrifttypeiafsnit"/>
    <w:rsid w:val="007D2738"/>
  </w:style>
  <w:style w:type="character" w:customStyle="1" w:styleId="refseriesdate">
    <w:name w:val="refseriesdate"/>
    <w:basedOn w:val="Standardskrifttypeiafsnit"/>
    <w:rsid w:val="007D2738"/>
  </w:style>
  <w:style w:type="character" w:customStyle="1" w:styleId="refseriesvolume">
    <w:name w:val="refseriesvolume"/>
    <w:basedOn w:val="Standardskrifttypeiafsnit"/>
    <w:rsid w:val="007D2738"/>
  </w:style>
  <w:style w:type="character" w:customStyle="1" w:styleId="refpages">
    <w:name w:val="refpages"/>
    <w:basedOn w:val="Standardskrifttypeiafsnit"/>
    <w:rsid w:val="007D2738"/>
  </w:style>
  <w:style w:type="character" w:customStyle="1" w:styleId="Overskrift3Tegn">
    <w:name w:val="Overskrift 3 Tegn"/>
    <w:basedOn w:val="Standardskrifttypeiafsnit"/>
    <w:link w:val="Overskrift3"/>
    <w:uiPriority w:val="9"/>
    <w:rsid w:val="00881E77"/>
    <w:rPr>
      <w:rFonts w:ascii="Times New Roman" w:eastAsia="Times New Roman" w:hAnsi="Times New Roman" w:cs="Times New Roman"/>
      <w:b/>
      <w:bCs/>
      <w:sz w:val="27"/>
      <w:szCs w:val="27"/>
      <w:lang w:eastAsia="da-DK"/>
    </w:rPr>
  </w:style>
  <w:style w:type="character" w:styleId="Hyperlink">
    <w:name w:val="Hyperlink"/>
    <w:basedOn w:val="Standardskrifttypeiafsnit"/>
    <w:uiPriority w:val="99"/>
    <w:semiHidden/>
    <w:unhideWhenUsed/>
    <w:rsid w:val="00881E77"/>
    <w:rPr>
      <w:color w:val="0000FF"/>
      <w:u w:val="single"/>
    </w:rPr>
  </w:style>
  <w:style w:type="character" w:customStyle="1" w:styleId="Overskrift4Tegn">
    <w:name w:val="Overskrift 4 Tegn"/>
    <w:basedOn w:val="Standardskrifttypeiafsnit"/>
    <w:link w:val="Overskrift4"/>
    <w:uiPriority w:val="9"/>
    <w:semiHidden/>
    <w:rsid w:val="00066AAC"/>
    <w:rPr>
      <w:rFonts w:asciiTheme="majorHAnsi" w:eastAsiaTheme="majorEastAsia" w:hAnsiTheme="majorHAnsi" w:cstheme="majorBidi"/>
      <w:b/>
      <w:bCs/>
      <w:i/>
      <w:iCs/>
      <w:color w:val="4F81BD" w:themeColor="accent1"/>
    </w:rPr>
  </w:style>
  <w:style w:type="character" w:customStyle="1" w:styleId="Overskrift1Tegn">
    <w:name w:val="Overskrift 1 Tegn"/>
    <w:basedOn w:val="Standardskrifttypeiafsnit"/>
    <w:link w:val="Overskrift1"/>
    <w:uiPriority w:val="9"/>
    <w:rsid w:val="00287AE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AEC"/>
    <w:rPr>
      <w:rFonts w:asciiTheme="majorHAnsi" w:eastAsiaTheme="majorEastAsia" w:hAnsiTheme="majorHAnsi" w:cstheme="majorBidi"/>
      <w:b/>
      <w:bCs/>
      <w:color w:val="4F81BD" w:themeColor="accent1"/>
      <w:sz w:val="26"/>
      <w:szCs w:val="26"/>
    </w:rPr>
  </w:style>
  <w:style w:type="character" w:customStyle="1" w:styleId="bidi">
    <w:name w:val="bidi"/>
    <w:basedOn w:val="Standardskrifttypeiafsnit"/>
    <w:rsid w:val="00E9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611">
      <w:bodyDiv w:val="1"/>
      <w:marLeft w:val="0"/>
      <w:marRight w:val="0"/>
      <w:marTop w:val="0"/>
      <w:marBottom w:val="0"/>
      <w:divBdr>
        <w:top w:val="none" w:sz="0" w:space="0" w:color="auto"/>
        <w:left w:val="none" w:sz="0" w:space="0" w:color="auto"/>
        <w:bottom w:val="none" w:sz="0" w:space="0" w:color="auto"/>
        <w:right w:val="none" w:sz="0" w:space="0" w:color="auto"/>
      </w:divBdr>
    </w:div>
    <w:div w:id="65803271">
      <w:bodyDiv w:val="1"/>
      <w:marLeft w:val="0"/>
      <w:marRight w:val="0"/>
      <w:marTop w:val="0"/>
      <w:marBottom w:val="0"/>
      <w:divBdr>
        <w:top w:val="none" w:sz="0" w:space="0" w:color="auto"/>
        <w:left w:val="none" w:sz="0" w:space="0" w:color="auto"/>
        <w:bottom w:val="none" w:sz="0" w:space="0" w:color="auto"/>
        <w:right w:val="none" w:sz="0" w:space="0" w:color="auto"/>
      </w:divBdr>
    </w:div>
    <w:div w:id="555750116">
      <w:bodyDiv w:val="1"/>
      <w:marLeft w:val="0"/>
      <w:marRight w:val="0"/>
      <w:marTop w:val="0"/>
      <w:marBottom w:val="0"/>
      <w:divBdr>
        <w:top w:val="none" w:sz="0" w:space="0" w:color="auto"/>
        <w:left w:val="none" w:sz="0" w:space="0" w:color="auto"/>
        <w:bottom w:val="none" w:sz="0" w:space="0" w:color="auto"/>
        <w:right w:val="none" w:sz="0" w:space="0" w:color="auto"/>
      </w:divBdr>
    </w:div>
    <w:div w:id="570039393">
      <w:bodyDiv w:val="1"/>
      <w:marLeft w:val="0"/>
      <w:marRight w:val="0"/>
      <w:marTop w:val="0"/>
      <w:marBottom w:val="0"/>
      <w:divBdr>
        <w:top w:val="none" w:sz="0" w:space="0" w:color="auto"/>
        <w:left w:val="none" w:sz="0" w:space="0" w:color="auto"/>
        <w:bottom w:val="none" w:sz="0" w:space="0" w:color="auto"/>
        <w:right w:val="none" w:sz="0" w:space="0" w:color="auto"/>
      </w:divBdr>
    </w:div>
    <w:div w:id="1007099354">
      <w:bodyDiv w:val="1"/>
      <w:marLeft w:val="0"/>
      <w:marRight w:val="0"/>
      <w:marTop w:val="0"/>
      <w:marBottom w:val="0"/>
      <w:divBdr>
        <w:top w:val="none" w:sz="0" w:space="0" w:color="auto"/>
        <w:left w:val="none" w:sz="0" w:space="0" w:color="auto"/>
        <w:bottom w:val="none" w:sz="0" w:space="0" w:color="auto"/>
        <w:right w:val="none" w:sz="0" w:space="0" w:color="auto"/>
      </w:divBdr>
      <w:divsChild>
        <w:div w:id="1693533250">
          <w:marLeft w:val="0"/>
          <w:marRight w:val="0"/>
          <w:marTop w:val="0"/>
          <w:marBottom w:val="0"/>
          <w:divBdr>
            <w:top w:val="none" w:sz="0" w:space="0" w:color="auto"/>
            <w:left w:val="none" w:sz="0" w:space="0" w:color="auto"/>
            <w:bottom w:val="none" w:sz="0" w:space="0" w:color="auto"/>
            <w:right w:val="none" w:sz="0" w:space="0" w:color="auto"/>
          </w:divBdr>
          <w:divsChild>
            <w:div w:id="1828088208">
              <w:marLeft w:val="0"/>
              <w:marRight w:val="0"/>
              <w:marTop w:val="0"/>
              <w:marBottom w:val="0"/>
              <w:divBdr>
                <w:top w:val="none" w:sz="0" w:space="0" w:color="auto"/>
                <w:left w:val="none" w:sz="0" w:space="0" w:color="auto"/>
                <w:bottom w:val="none" w:sz="0" w:space="0" w:color="auto"/>
                <w:right w:val="none" w:sz="0" w:space="0" w:color="auto"/>
              </w:divBdr>
              <w:divsChild>
                <w:div w:id="714428761">
                  <w:marLeft w:val="0"/>
                  <w:marRight w:val="0"/>
                  <w:marTop w:val="0"/>
                  <w:marBottom w:val="0"/>
                  <w:divBdr>
                    <w:top w:val="none" w:sz="0" w:space="0" w:color="auto"/>
                    <w:left w:val="none" w:sz="0" w:space="0" w:color="auto"/>
                    <w:bottom w:val="none" w:sz="0" w:space="0" w:color="auto"/>
                    <w:right w:val="none" w:sz="0" w:space="0" w:color="auto"/>
                  </w:divBdr>
                  <w:divsChild>
                    <w:div w:id="1710185980">
                      <w:marLeft w:val="0"/>
                      <w:marRight w:val="0"/>
                      <w:marTop w:val="0"/>
                      <w:marBottom w:val="0"/>
                      <w:divBdr>
                        <w:top w:val="none" w:sz="0" w:space="0" w:color="auto"/>
                        <w:left w:val="none" w:sz="0" w:space="0" w:color="auto"/>
                        <w:bottom w:val="none" w:sz="0" w:space="0" w:color="auto"/>
                        <w:right w:val="none" w:sz="0" w:space="0" w:color="auto"/>
                      </w:divBdr>
                      <w:divsChild>
                        <w:div w:id="544026149">
                          <w:marLeft w:val="0"/>
                          <w:marRight w:val="0"/>
                          <w:marTop w:val="0"/>
                          <w:marBottom w:val="0"/>
                          <w:divBdr>
                            <w:top w:val="none" w:sz="0" w:space="0" w:color="auto"/>
                            <w:left w:val="none" w:sz="0" w:space="0" w:color="auto"/>
                            <w:bottom w:val="none" w:sz="0" w:space="0" w:color="auto"/>
                            <w:right w:val="none" w:sz="0" w:space="0" w:color="auto"/>
                          </w:divBdr>
                          <w:divsChild>
                            <w:div w:id="5403934">
                              <w:marLeft w:val="0"/>
                              <w:marRight w:val="0"/>
                              <w:marTop w:val="0"/>
                              <w:marBottom w:val="0"/>
                              <w:divBdr>
                                <w:top w:val="none" w:sz="0" w:space="0" w:color="auto"/>
                                <w:left w:val="none" w:sz="0" w:space="0" w:color="auto"/>
                                <w:bottom w:val="none" w:sz="0" w:space="0" w:color="auto"/>
                                <w:right w:val="none" w:sz="0" w:space="0" w:color="auto"/>
                              </w:divBdr>
                              <w:divsChild>
                                <w:div w:id="276522975">
                                  <w:marLeft w:val="0"/>
                                  <w:marRight w:val="0"/>
                                  <w:marTop w:val="0"/>
                                  <w:marBottom w:val="0"/>
                                  <w:divBdr>
                                    <w:top w:val="none" w:sz="0" w:space="0" w:color="auto"/>
                                    <w:left w:val="none" w:sz="0" w:space="0" w:color="auto"/>
                                    <w:bottom w:val="none" w:sz="0" w:space="0" w:color="auto"/>
                                    <w:right w:val="none" w:sz="0" w:space="0" w:color="auto"/>
                                  </w:divBdr>
                                  <w:divsChild>
                                    <w:div w:id="80418181">
                                      <w:marLeft w:val="0"/>
                                      <w:marRight w:val="0"/>
                                      <w:marTop w:val="0"/>
                                      <w:marBottom w:val="0"/>
                                      <w:divBdr>
                                        <w:top w:val="none" w:sz="0" w:space="0" w:color="auto"/>
                                        <w:left w:val="none" w:sz="0" w:space="0" w:color="auto"/>
                                        <w:bottom w:val="none" w:sz="0" w:space="0" w:color="auto"/>
                                        <w:right w:val="none" w:sz="0" w:space="0" w:color="auto"/>
                                      </w:divBdr>
                                      <w:divsChild>
                                        <w:div w:id="640041972">
                                          <w:marLeft w:val="0"/>
                                          <w:marRight w:val="0"/>
                                          <w:marTop w:val="0"/>
                                          <w:marBottom w:val="0"/>
                                          <w:divBdr>
                                            <w:top w:val="none" w:sz="0" w:space="0" w:color="auto"/>
                                            <w:left w:val="none" w:sz="0" w:space="0" w:color="auto"/>
                                            <w:bottom w:val="none" w:sz="0" w:space="0" w:color="auto"/>
                                            <w:right w:val="none" w:sz="0" w:space="0" w:color="auto"/>
                                          </w:divBdr>
                                          <w:divsChild>
                                            <w:div w:id="18992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304482">
      <w:bodyDiv w:val="1"/>
      <w:marLeft w:val="0"/>
      <w:marRight w:val="0"/>
      <w:marTop w:val="0"/>
      <w:marBottom w:val="0"/>
      <w:divBdr>
        <w:top w:val="none" w:sz="0" w:space="0" w:color="auto"/>
        <w:left w:val="none" w:sz="0" w:space="0" w:color="auto"/>
        <w:bottom w:val="none" w:sz="0" w:space="0" w:color="auto"/>
        <w:right w:val="none" w:sz="0" w:space="0" w:color="auto"/>
      </w:divBdr>
      <w:divsChild>
        <w:div w:id="692389450">
          <w:marLeft w:val="0"/>
          <w:marRight w:val="0"/>
          <w:marTop w:val="0"/>
          <w:marBottom w:val="0"/>
          <w:divBdr>
            <w:top w:val="none" w:sz="0" w:space="0" w:color="auto"/>
            <w:left w:val="none" w:sz="0" w:space="0" w:color="auto"/>
            <w:bottom w:val="none" w:sz="0" w:space="0" w:color="auto"/>
            <w:right w:val="none" w:sz="0" w:space="0" w:color="auto"/>
          </w:divBdr>
        </w:div>
      </w:divsChild>
    </w:div>
    <w:div w:id="1086996276">
      <w:bodyDiv w:val="1"/>
      <w:marLeft w:val="0"/>
      <w:marRight w:val="0"/>
      <w:marTop w:val="0"/>
      <w:marBottom w:val="0"/>
      <w:divBdr>
        <w:top w:val="none" w:sz="0" w:space="0" w:color="auto"/>
        <w:left w:val="none" w:sz="0" w:space="0" w:color="auto"/>
        <w:bottom w:val="none" w:sz="0" w:space="0" w:color="auto"/>
        <w:right w:val="none" w:sz="0" w:space="0" w:color="auto"/>
      </w:divBdr>
    </w:div>
    <w:div w:id="1215235662">
      <w:bodyDiv w:val="1"/>
      <w:marLeft w:val="0"/>
      <w:marRight w:val="0"/>
      <w:marTop w:val="0"/>
      <w:marBottom w:val="0"/>
      <w:divBdr>
        <w:top w:val="none" w:sz="0" w:space="0" w:color="auto"/>
        <w:left w:val="none" w:sz="0" w:space="0" w:color="auto"/>
        <w:bottom w:val="none" w:sz="0" w:space="0" w:color="auto"/>
        <w:right w:val="none" w:sz="0" w:space="0" w:color="auto"/>
      </w:divBdr>
    </w:div>
    <w:div w:id="1233075960">
      <w:bodyDiv w:val="1"/>
      <w:marLeft w:val="0"/>
      <w:marRight w:val="0"/>
      <w:marTop w:val="0"/>
      <w:marBottom w:val="0"/>
      <w:divBdr>
        <w:top w:val="none" w:sz="0" w:space="0" w:color="auto"/>
        <w:left w:val="none" w:sz="0" w:space="0" w:color="auto"/>
        <w:bottom w:val="none" w:sz="0" w:space="0" w:color="auto"/>
        <w:right w:val="none" w:sz="0" w:space="0" w:color="auto"/>
      </w:divBdr>
    </w:div>
    <w:div w:id="1233156149">
      <w:bodyDiv w:val="1"/>
      <w:marLeft w:val="0"/>
      <w:marRight w:val="0"/>
      <w:marTop w:val="0"/>
      <w:marBottom w:val="0"/>
      <w:divBdr>
        <w:top w:val="none" w:sz="0" w:space="0" w:color="auto"/>
        <w:left w:val="none" w:sz="0" w:space="0" w:color="auto"/>
        <w:bottom w:val="none" w:sz="0" w:space="0" w:color="auto"/>
        <w:right w:val="none" w:sz="0" w:space="0" w:color="auto"/>
      </w:divBdr>
    </w:div>
    <w:div w:id="1278638420">
      <w:bodyDiv w:val="1"/>
      <w:marLeft w:val="0"/>
      <w:marRight w:val="0"/>
      <w:marTop w:val="0"/>
      <w:marBottom w:val="0"/>
      <w:divBdr>
        <w:top w:val="none" w:sz="0" w:space="0" w:color="auto"/>
        <w:left w:val="none" w:sz="0" w:space="0" w:color="auto"/>
        <w:bottom w:val="none" w:sz="0" w:space="0" w:color="auto"/>
        <w:right w:val="none" w:sz="0" w:space="0" w:color="auto"/>
      </w:divBdr>
    </w:div>
    <w:div w:id="1308170582">
      <w:bodyDiv w:val="1"/>
      <w:marLeft w:val="0"/>
      <w:marRight w:val="0"/>
      <w:marTop w:val="0"/>
      <w:marBottom w:val="0"/>
      <w:divBdr>
        <w:top w:val="none" w:sz="0" w:space="0" w:color="auto"/>
        <w:left w:val="none" w:sz="0" w:space="0" w:color="auto"/>
        <w:bottom w:val="none" w:sz="0" w:space="0" w:color="auto"/>
        <w:right w:val="none" w:sz="0" w:space="0" w:color="auto"/>
      </w:divBdr>
    </w:div>
    <w:div w:id="1369141015">
      <w:bodyDiv w:val="1"/>
      <w:marLeft w:val="0"/>
      <w:marRight w:val="0"/>
      <w:marTop w:val="0"/>
      <w:marBottom w:val="0"/>
      <w:divBdr>
        <w:top w:val="none" w:sz="0" w:space="0" w:color="auto"/>
        <w:left w:val="none" w:sz="0" w:space="0" w:color="auto"/>
        <w:bottom w:val="none" w:sz="0" w:space="0" w:color="auto"/>
        <w:right w:val="none" w:sz="0" w:space="0" w:color="auto"/>
      </w:divBdr>
    </w:div>
    <w:div w:id="1448431973">
      <w:bodyDiv w:val="1"/>
      <w:marLeft w:val="0"/>
      <w:marRight w:val="0"/>
      <w:marTop w:val="0"/>
      <w:marBottom w:val="0"/>
      <w:divBdr>
        <w:top w:val="none" w:sz="0" w:space="0" w:color="auto"/>
        <w:left w:val="none" w:sz="0" w:space="0" w:color="auto"/>
        <w:bottom w:val="none" w:sz="0" w:space="0" w:color="auto"/>
        <w:right w:val="none" w:sz="0" w:space="0" w:color="auto"/>
      </w:divBdr>
    </w:div>
    <w:div w:id="1454447003">
      <w:bodyDiv w:val="1"/>
      <w:marLeft w:val="0"/>
      <w:marRight w:val="0"/>
      <w:marTop w:val="0"/>
      <w:marBottom w:val="0"/>
      <w:divBdr>
        <w:top w:val="none" w:sz="0" w:space="0" w:color="auto"/>
        <w:left w:val="none" w:sz="0" w:space="0" w:color="auto"/>
        <w:bottom w:val="none" w:sz="0" w:space="0" w:color="auto"/>
        <w:right w:val="none" w:sz="0" w:space="0" w:color="auto"/>
      </w:divBdr>
    </w:div>
    <w:div w:id="1652513634">
      <w:bodyDiv w:val="1"/>
      <w:marLeft w:val="0"/>
      <w:marRight w:val="0"/>
      <w:marTop w:val="0"/>
      <w:marBottom w:val="0"/>
      <w:divBdr>
        <w:top w:val="none" w:sz="0" w:space="0" w:color="auto"/>
        <w:left w:val="none" w:sz="0" w:space="0" w:color="auto"/>
        <w:bottom w:val="none" w:sz="0" w:space="0" w:color="auto"/>
        <w:right w:val="none" w:sz="0" w:space="0" w:color="auto"/>
      </w:divBdr>
    </w:div>
    <w:div w:id="1718967645">
      <w:bodyDiv w:val="1"/>
      <w:marLeft w:val="0"/>
      <w:marRight w:val="0"/>
      <w:marTop w:val="0"/>
      <w:marBottom w:val="0"/>
      <w:divBdr>
        <w:top w:val="none" w:sz="0" w:space="0" w:color="auto"/>
        <w:left w:val="none" w:sz="0" w:space="0" w:color="auto"/>
        <w:bottom w:val="none" w:sz="0" w:space="0" w:color="auto"/>
        <w:right w:val="none" w:sz="0" w:space="0" w:color="auto"/>
      </w:divBdr>
    </w:div>
    <w:div w:id="1802645543">
      <w:bodyDiv w:val="1"/>
      <w:marLeft w:val="0"/>
      <w:marRight w:val="0"/>
      <w:marTop w:val="0"/>
      <w:marBottom w:val="0"/>
      <w:divBdr>
        <w:top w:val="none" w:sz="0" w:space="0" w:color="auto"/>
        <w:left w:val="none" w:sz="0" w:space="0" w:color="auto"/>
        <w:bottom w:val="none" w:sz="0" w:space="0" w:color="auto"/>
        <w:right w:val="none" w:sz="0" w:space="0" w:color="auto"/>
      </w:divBdr>
    </w:div>
    <w:div w:id="1922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41877-A009-43C3-A8FC-FDEA31E8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2924</Words>
  <Characters>17839</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Region Hovedstaden</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Føhrby Overgaard</dc:creator>
  <cp:lastModifiedBy>Henning Bliddal</cp:lastModifiedBy>
  <cp:revision>2</cp:revision>
  <dcterms:created xsi:type="dcterms:W3CDTF">2018-12-20T10:25:00Z</dcterms:created>
  <dcterms:modified xsi:type="dcterms:W3CDTF">2018-12-20T10:25:00Z</dcterms:modified>
</cp:coreProperties>
</file>