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6397" w14:textId="77777777" w:rsidR="002F4B2D" w:rsidRDefault="00000000">
      <w:pPr>
        <w:spacing w:after="40"/>
      </w:pPr>
      <w:r>
        <w:rPr>
          <w:rFonts w:ascii="Calibri" w:eastAsia="Calibri" w:hAnsi="Calibri"/>
          <w:b/>
          <w:color w:val="0B2A5B"/>
          <w:sz w:val="20"/>
        </w:rPr>
        <w:t>eAge Innovations — Defence SDR &amp; Electronic Warfare Lab</w:t>
      </w:r>
    </w:p>
    <w:p w14:paraId="07DA4F4E" w14:textId="77777777" w:rsidR="002F4B2D" w:rsidRDefault="00000000">
      <w:pPr>
        <w:spacing w:after="160"/>
      </w:pPr>
      <w:r>
        <w:rPr>
          <w:rFonts w:ascii="Calibri" w:eastAsia="Calibri" w:hAnsi="Calibri"/>
          <w:color w:val="64748B"/>
          <w:sz w:val="17"/>
        </w:rPr>
        <w:t>Reference: EAGE-CR-ML-FUND-QA-2026-001  |  Audience: Senior Defence Scientists  |  September 2026</w:t>
      </w:r>
    </w:p>
    <w:p w14:paraId="5D2126B2" w14:textId="77777777" w:rsidR="002F4B2D" w:rsidRDefault="002F4B2D">
      <w:pPr>
        <w:pBdr>
          <w:bottom w:val="single" w:sz="18" w:space="1" w:color="0B2A5B"/>
        </w:pBdr>
      </w:pPr>
    </w:p>
    <w:p w14:paraId="5BD65FD1" w14:textId="77777777" w:rsidR="002F4B2D" w:rsidRDefault="00000000">
      <w:pPr>
        <w:spacing w:after="60"/>
      </w:pPr>
      <w:r>
        <w:rPr>
          <w:rFonts w:ascii="Calibri" w:eastAsia="Calibri" w:hAnsi="Calibri"/>
          <w:b/>
          <w:color w:val="0B2A5B"/>
          <w:sz w:val="28"/>
        </w:rPr>
        <w:t>COGNITIVE RADIO SIMULATION — MACHINE LEARNING FUNDAMENTALS Q&amp;A</w:t>
      </w:r>
    </w:p>
    <w:p w14:paraId="4A4798A6" w14:textId="77777777" w:rsidR="002F4B2D" w:rsidRDefault="00000000">
      <w:r>
        <w:rPr>
          <w:rFonts w:ascii="Calibri" w:eastAsia="Calibri" w:hAnsi="Calibri"/>
          <w:i/>
          <w:color w:val="64748B"/>
          <w:sz w:val="18"/>
        </w:rPr>
        <w:t xml:space="preserve">Primary code references: </w:t>
      </w:r>
      <w:proofErr w:type="spellStart"/>
      <w:r>
        <w:rPr>
          <w:rFonts w:ascii="Calibri" w:eastAsia="Calibri" w:hAnsi="Calibri"/>
          <w:i/>
          <w:color w:val="64748B"/>
          <w:sz w:val="18"/>
        </w:rPr>
        <w:t>cr_sim</w:t>
      </w:r>
      <w:proofErr w:type="spellEnd"/>
      <w:r>
        <w:rPr>
          <w:rFonts w:ascii="Calibri" w:eastAsia="Calibri" w:hAnsi="Calibri"/>
          <w:i/>
          <w:color w:val="64748B"/>
          <w:sz w:val="18"/>
        </w:rPr>
        <w:t>/ml_models.py, cr_sim/cr_engine.py, cr_sim/channel.py, cr_sim/orchestrator.py, app.py</w:t>
      </w:r>
    </w:p>
    <w:p w14:paraId="37B7F8BD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1.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Data first — Where does the data for this model come from, and is it enough, clean, and representative?</w:t>
      </w:r>
    </w:p>
    <w:p w14:paraId="27CE3BBC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1.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In this simulation, training data is generated synthetically inside the same channel / ECM simulator (ChannelRecommenderML.train_synthetic in ml_models.py). About 800–1200 labelled cases are created per training run, covering jam profiles NONE, SPOT, MULTI_SPOT, SWEEP, and BARRAGE, with varied transmit power and active carrier. Features are numeric and cleaned by construction (no missing RF packets). The data is representative of the software contested-spectrum scenarios in this demo; it is not yet field-recorded I/Q from eADM hardware. For the PC demonstration this is sufficient; for deployed EW learning, later work would add real sensed telemetry while keeping the same feature interface.</w:t>
      </w:r>
    </w:p>
    <w:p w14:paraId="2DD6634E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2.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Problem type — Is this classification, regression, clustering, or generation?</w:t>
      </w:r>
    </w:p>
    <w:p w14:paraId="14AC702B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2.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This is a supervised multi-class classification problem. The model predicts one discrete action class: recommended channel id 0 … N−1, or a special class −1 meaning INCREASE_POWER. It does not regress a continuous SINR estimate, does not cluster threats, and does not generate waveforms. This choice matches the Cognitive Radio actuation need: pick a channel or advise a power increase.</w:t>
      </w:r>
    </w:p>
    <w:p w14:paraId="3657EA61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3.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Features — What input variables does the model learn from, and why do they matter?</w:t>
      </w:r>
    </w:p>
    <w:p w14:paraId="65C74D06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3.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The feature vector length is 3N + 2. For each of N channels the model receives SINR (dB), a state encoding (FREE=2, DEGRADED=1, BLOCKED=0), and measured jam power; it also receives current transmit power and remaining power headroom (P_max − P_current). For the default N = 8 this is 26 features, matching the UI “Input Vector: 26 normalized sensing features.” Features are standardised with StandardScaler before MLP inference. Feature quality matters more than model size here: if sensing states and jam power are wrong, the recommender cannot propose safe channels.</w:t>
      </w:r>
    </w:p>
    <w:p w14:paraId="29E2CB74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4.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Training vs testing — How is data split so the model is checked on unseen cases?</w:t>
      </w:r>
    </w:p>
    <w:p w14:paraId="7CA3E6AC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4.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Today the demonstrator trains on the full synthetic set and reports training accuracy via sklearn model.score(X_train, y_train) after fit. A formal held-out test split is not yet enforced in train_synthetic (honest limitation for scientific review). Generalisation is checked operationally in the live UI on new jam scenarios the operator creates (Spot, Multi, Sweep, Barrage) that were not a single frozen test file. Recommended next hardening: split synthetic data into train/validation/test (for example 70/15/15) and report test accuracy / confusion matrix beside train accuracy.</w:t>
      </w:r>
    </w:p>
    <w:p w14:paraId="36D543E7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5.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Algorithm / model — What mathematical structure learns the patterns?</w:t>
      </w:r>
    </w:p>
    <w:p w14:paraId="2E9AD2A8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5.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The model is a feed-forward Multi-Layer Perceptron (MLP) classifier from scikit-learn: MLPClassifier(hidden_layer_sizes=(64, 32), activation="relu", solver="adam", max_iter=400, random_state=seed). Two hidden layers (64 and 32 neurons) map the feature vector to class logits over channels plus power-increase. This is intentionally a small, inspectable network suitable for a transparent defence software demo, not a large deep spectrogram model.</w:t>
      </w:r>
    </w:p>
    <w:p w14:paraId="0490336D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6.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Loss function — How does the model measure how wrong its predictions are?</w:t>
      </w:r>
    </w:p>
    <w:p w14:paraId="2B119F83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lastRenderedPageBreak/>
        <w:t xml:space="preserve">6.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For this multi-class MLP classifier, training minimises a cross-entropy / log-loss style objective over the predicted class probabilities (scikit-learn’s MLP classification loss). In plain terms: if the true label is “use CH2” and the model assigns low probability to CH2, the loss is high; training pushes probability mass toward the correct class. Softmax probabilities shown in the UI (and Stage 2 confidence) come from this probabilistic classification head.</w:t>
      </w:r>
    </w:p>
    <w:p w14:paraId="5E211FEE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7.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Optimization — How does the model adjust its internal weights?</w:t>
      </w:r>
    </w:p>
    <w:p w14:paraId="37D2E845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7.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Weights are updated iteratively by the Adam optimiser (solver="adam"), which is an adaptive gradient-based method. Each training iteration reduces the classification loss on the synthetic samples until convergence or max_iter is reached. A fixed random seed makes training repeatable for demos. After training, inference is a single forward pass: scale features → MLP → class prediction + probabilities.</w:t>
      </w:r>
    </w:p>
    <w:p w14:paraId="31256DBE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8.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Evaluation metrics — How do we judge whether the model is good?</w:t>
      </w:r>
    </w:p>
    <w:p w14:paraId="03EFE13A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8.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The UI / training return currently emphasises classification accuracy on the training synthetic set (train_accuracy). Live demo evaluation is qualitative and scenario-based: correct avoidance of BLOCKED channels, sensible alternate FREE channel under Spot/Multi jam, INCREASE_POWER under Barrage when headroom remains, and safety overrides when ML proposes an unsafe channel. For a stronger scientific scorecard, add precision/recall/F1 per class, confusion matrix, and held-out test accuracy; for EW ops, also track mission metrics such as fraction of steps on FREE channels and time-to-escape after jam onset.</w:t>
      </w:r>
    </w:p>
    <w:p w14:paraId="24A02153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9.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Overfitting vs underfitting — How are these risks handled in this design?</w:t>
      </w:r>
    </w:p>
    <w:p w14:paraId="2E2B29EC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9.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Underfitting risk is reduced by using a non-linear MLP (64×32) rather than a single linear rule, and by training across diverse jam profiles and powers. Overfitting risk exists because current scoring is mainly on training data and the labeler is itself a rule-based expert function—so the MLP can largely emulate that expert. Mitigation in this architecture is mission-critical: the Hybrid Safety Gate vetoes BLOCKED or otherwise unsafe proposals even if the neural net is overconfident. Also, features are low-dimensional and standardised, and the network is small. Stronger ML hygiene later: held-out test set, early stopping, and comparing RULES vs ML vs HYBRID on fixed scenario suites.</w:t>
      </w:r>
    </w:p>
    <w:p w14:paraId="48F40220" w14:textId="77777777" w:rsidR="002F4B2D" w:rsidRDefault="00000000">
      <w:pPr>
        <w:spacing w:before="160" w:after="4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10. </w:t>
      </w:r>
      <w:r>
        <w:rPr>
          <w:rFonts w:ascii="Calibri" w:eastAsia="Calibri" w:hAnsi="Calibri"/>
          <w:b/>
          <w:color w:val="1E293B"/>
          <w:sz w:val="21"/>
        </w:rPr>
        <w:t xml:space="preserve">Question: </w:t>
      </w:r>
      <w:r>
        <w:rPr>
          <w:rFonts w:ascii="Calibri" w:eastAsia="Calibri" w:hAnsi="Calibri"/>
          <w:color w:val="1F2937"/>
          <w:sz w:val="21"/>
        </w:rPr>
        <w:t>Deployment &amp; monitoring — How is the trained model used in operation, and what would monitoring mean here?</w:t>
      </w:r>
    </w:p>
    <w:p w14:paraId="540252BA" w14:textId="77777777" w:rsidR="002F4B2D" w:rsidRDefault="00000000">
      <w:pPr>
        <w:spacing w:after="120"/>
        <w:ind w:left="403" w:hanging="403"/>
      </w:pPr>
      <w:r>
        <w:rPr>
          <w:rFonts w:ascii="Calibri" w:eastAsia="Calibri" w:hAnsi="Calibri"/>
          <w:b/>
          <w:color w:val="0B2A5B"/>
          <w:sz w:val="21"/>
        </w:rPr>
        <w:t xml:space="preserve">10. </w:t>
      </w:r>
      <w:r>
        <w:rPr>
          <w:rFonts w:ascii="Calibri" w:eastAsia="Calibri" w:hAnsi="Calibri"/>
          <w:b/>
          <w:color w:val="1E293B"/>
          <w:sz w:val="21"/>
        </w:rPr>
        <w:t xml:space="preserve">Answer: </w:t>
      </w:r>
      <w:r>
        <w:rPr>
          <w:rFonts w:ascii="Calibri" w:eastAsia="Calibri" w:hAnsi="Calibri"/>
          <w:color w:val="1F2937"/>
          <w:sz w:val="21"/>
        </w:rPr>
        <w:t>In this project, deployment is the Streamlit Cognitive Radio simulation: after startup/reset/apply-config training, the MLP is used each simulation step inside CognitiveRadioEngine under ML or HYBRID mode, with proposals shown in the Transmitter Attached ML Policy card and Stage 2 of the explainability trace. Continuous monitoring in the demo sense is the live FREE/DEGRADED/BLOCKED map, confidence, dispatched action, and safety-override messages. For a later eADM / SDR deployment, monitoring would track data drift (new ECM behaviours), confidence calibration, override rate, and link outcomes, then trigger retraining when sensed distributions diverge from the synthetic training regime.</w:t>
      </w:r>
    </w:p>
    <w:p w14:paraId="782C7FE2" w14:textId="77777777" w:rsidR="002F4B2D" w:rsidRDefault="002F4B2D">
      <w:pPr>
        <w:spacing w:after="80"/>
      </w:pPr>
    </w:p>
    <w:p w14:paraId="5E330AE5" w14:textId="77777777" w:rsidR="002F4B2D" w:rsidRDefault="00000000">
      <w:pPr>
        <w:spacing w:before="160"/>
      </w:pPr>
      <w:r>
        <w:rPr>
          <w:rFonts w:ascii="Calibri" w:eastAsia="Calibri" w:hAnsi="Calibri"/>
          <w:b/>
          <w:color w:val="0B2A5B"/>
          <w:sz w:val="23"/>
        </w:rPr>
        <w:t>Closing note for scientists</w:t>
      </w:r>
    </w:p>
    <w:p w14:paraId="6735CE87" w14:textId="77777777" w:rsidR="002F4B2D" w:rsidRDefault="00000000">
      <w:pPr>
        <w:spacing w:after="60"/>
      </w:pPr>
      <w:r>
        <w:rPr>
          <w:rFonts w:ascii="Calibri" w:eastAsia="Calibri" w:hAnsi="Calibri"/>
          <w:color w:val="1F2937"/>
          <w:sz w:val="21"/>
        </w:rPr>
        <w:t>1. This codebase implements an explainable ML loop for channel / power classification on synthetic contested-spectrum features.</w:t>
      </w:r>
    </w:p>
    <w:p w14:paraId="1640FAFF" w14:textId="77777777" w:rsidR="002F4B2D" w:rsidRDefault="00000000">
      <w:pPr>
        <w:spacing w:after="60"/>
      </w:pPr>
      <w:r>
        <w:rPr>
          <w:rFonts w:ascii="Calibri" w:eastAsia="Calibri" w:hAnsi="Calibri"/>
          <w:color w:val="1F2937"/>
          <w:sz w:val="21"/>
        </w:rPr>
        <w:t>2. The main scientific gap to call out honestly is formal train/test split reporting, which should be added before claiming strong generalisation metrics.</w:t>
      </w:r>
    </w:p>
    <w:p w14:paraId="55E9B5F8" w14:textId="77777777" w:rsidR="002F4B2D" w:rsidRDefault="00000000">
      <w:r>
        <w:rPr>
          <w:rFonts w:ascii="Calibri" w:eastAsia="Calibri" w:hAnsi="Calibri"/>
          <w:color w:val="1F2937"/>
          <w:sz w:val="21"/>
        </w:rPr>
        <w:lastRenderedPageBreak/>
        <w:t>3. Defence assurance in this design does not rely on ML alone: hybrid safety containment remains mandatory around the neural proposal.</w:t>
      </w:r>
    </w:p>
    <w:p w14:paraId="01F6C0D1" w14:textId="77777777" w:rsidR="002F4B2D" w:rsidRDefault="00000000">
      <w:pPr>
        <w:spacing w:after="80"/>
      </w:pPr>
      <w:r>
        <w:rPr>
          <w:rFonts w:ascii="Calibri" w:eastAsia="Calibri" w:hAnsi="Calibri"/>
          <w:b/>
          <w:color w:val="0B2A5B"/>
          <w:sz w:val="18"/>
        </w:rPr>
        <w:t>Prepared by: eAge Innovations Technical Engineering Team</w:t>
      </w:r>
    </w:p>
    <w:p w14:paraId="724FBD9B" w14:textId="77777777" w:rsidR="002F4B2D" w:rsidRDefault="00000000">
      <w:pPr>
        <w:spacing w:after="80"/>
      </w:pPr>
      <w:r>
        <w:rPr>
          <w:rFonts w:ascii="Calibri" w:eastAsia="Calibri" w:hAnsi="Calibri"/>
          <w:color w:val="1F2937"/>
          <w:sz w:val="18"/>
        </w:rPr>
        <w:t>For scientific evaluation by: Shri S. K. Sir &amp; Senior Defence Scientists</w:t>
      </w:r>
    </w:p>
    <w:sectPr w:rsidR="002F4B2D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3534137">
    <w:abstractNumId w:val="8"/>
  </w:num>
  <w:num w:numId="2" w16cid:durableId="1710229052">
    <w:abstractNumId w:val="6"/>
  </w:num>
  <w:num w:numId="3" w16cid:durableId="645167528">
    <w:abstractNumId w:val="5"/>
  </w:num>
  <w:num w:numId="4" w16cid:durableId="674579304">
    <w:abstractNumId w:val="4"/>
  </w:num>
  <w:num w:numId="5" w16cid:durableId="1339819047">
    <w:abstractNumId w:val="7"/>
  </w:num>
  <w:num w:numId="6" w16cid:durableId="2059162445">
    <w:abstractNumId w:val="3"/>
  </w:num>
  <w:num w:numId="7" w16cid:durableId="386563258">
    <w:abstractNumId w:val="2"/>
  </w:num>
  <w:num w:numId="8" w16cid:durableId="523520817">
    <w:abstractNumId w:val="1"/>
  </w:num>
  <w:num w:numId="9" w16cid:durableId="1508014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0D"/>
    <w:rsid w:val="0006063C"/>
    <w:rsid w:val="0015074B"/>
    <w:rsid w:val="0029639D"/>
    <w:rsid w:val="002F4B2D"/>
    <w:rsid w:val="00326F90"/>
    <w:rsid w:val="00856E52"/>
    <w:rsid w:val="00AA1D8D"/>
    <w:rsid w:val="00B47730"/>
    <w:rsid w:val="00CB0664"/>
    <w:rsid w:val="00CE02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BC6FC"/>
  <w14:defaultImageDpi w14:val="300"/>
  <w15:docId w15:val="{6BDFDBEE-D5EB-427B-8594-B8BBDFE6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1119</Words>
  <Characters>6383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vasu srinivas</cp:lastModifiedBy>
  <cp:revision>3</cp:revision>
  <dcterms:created xsi:type="dcterms:W3CDTF">2013-12-23T23:15:00Z</dcterms:created>
  <dcterms:modified xsi:type="dcterms:W3CDTF">2026-09-17T06:56:00Z</dcterms:modified>
  <cp:category/>
</cp:coreProperties>
</file>