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Calibri" w:hAnsi="Calibri" w:eastAsia="Calibri"/>
          <w:b/>
          <w:i w:val="0"/>
          <w:color w:val="0B2A5B"/>
          <w:sz w:val="20"/>
        </w:rPr>
        <w:t>eAge Innovations — Defence SDR &amp; Electronic Warfare Lab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64748B"/>
          <w:sz w:val="17"/>
        </w:rPr>
        <w:t>Reference: EAGE-CR-PRES-2026-001  |  Audience: Shri S. K. Sir &amp; Senior Defence Scientists  |  September 2026</w:t>
      </w:r>
    </w:p>
    <w:p>
      <w:pPr>
        <w:spacing w:after="200"/>
        <w:pBdr>
          <w:bottom w:val="single" w:sz="18" w:space="1" w:color="0B2A5B"/>
        </w:pBdr>
      </w:pPr>
    </w:p>
    <w:p>
      <w:pPr>
        <w:spacing w:after="60"/>
      </w:pPr>
      <w:r>
        <w:rPr>
          <w:rFonts w:ascii="Calibri" w:hAnsi="Calibri" w:eastAsia="Calibri"/>
          <w:b/>
          <w:i w:val="0"/>
          <w:color w:val="0B2A5B"/>
          <w:sz w:val="30"/>
        </w:rPr>
        <w:t>HOW TO PRESENT THE COGNITIVE RADIO SIMULATION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0.1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Document format: </w:t>
      </w:r>
      <w:r>
        <w:rPr>
          <w:rFonts w:ascii="Calibri" w:hAnsi="Calibri" w:eastAsia="Calibri"/>
          <w:b w:val="0"/>
          <w:i w:val="0"/>
          <w:color w:val="1F2937"/>
          <w:sz w:val="21"/>
        </w:rPr>
        <w:t>This guide uses numbered points only. Figures below are used in both this Word document and the companion PowerPoint.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0.2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Companion PowerPoint: </w:t>
      </w:r>
      <w:r>
        <w:rPr>
          <w:rFonts w:ascii="Calibri" w:hAnsi="Calibri" w:eastAsia="Calibri"/>
          <w:b w:val="0"/>
          <w:i w:val="0"/>
          <w:color w:val="1F2937"/>
          <w:sz w:val="21"/>
        </w:rPr>
        <w:t>Cognitive_Radio_Simulation_Presentation_for_Defence_Scientists.pptx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B2A5B"/>
          <w:sz w:val="26"/>
        </w:rPr>
        <w:t>1. Objective of This Presentation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1.1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Primary goal: </w:t>
      </w:r>
      <w:r>
        <w:rPr>
          <w:rFonts w:ascii="Calibri" w:hAnsi="Calibri" w:eastAsia="Calibri"/>
          <w:b w:val="0"/>
          <w:i w:val="0"/>
          <w:color w:val="1F2937"/>
          <w:sz w:val="21"/>
        </w:rPr>
        <w:t>Show Sense–Decide–Act under jamming with agreed look-and-feel, interference capture, and cognitive dynamic FH.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1.2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Desired outcome: </w:t>
      </w:r>
      <w:r>
        <w:rPr>
          <w:rFonts w:ascii="Calibri" w:hAnsi="Calibri" w:eastAsia="Calibri"/>
          <w:b w:val="0"/>
          <w:i w:val="0"/>
          <w:color w:val="1F2937"/>
          <w:sz w:val="21"/>
        </w:rPr>
        <w:t>Panel understands the software decision twin and path to eADM / SDR integration.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1.3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Scope limit: </w:t>
      </w:r>
      <w:r>
        <w:rPr>
          <w:rFonts w:ascii="Calibri" w:hAnsi="Calibri" w:eastAsia="Calibri"/>
          <w:b w:val="0"/>
          <w:i w:val="0"/>
          <w:color w:val="1F2937"/>
          <w:sz w:val="21"/>
        </w:rPr>
        <w:t>Not a claim of airborne certification or full field RF trial.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1.4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SK priorities: </w:t>
      </w:r>
      <w:r>
        <w:rPr>
          <w:rFonts w:ascii="Calibri" w:hAnsi="Calibri" w:eastAsia="Calibri"/>
          <w:b w:val="0"/>
          <w:i w:val="0"/>
          <w:color w:val="1F2937"/>
          <w:sz w:val="21"/>
        </w:rPr>
        <w:t>Look-and-feel; capturing interference; dynamic FH based on cognitive decisions.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B2A5B"/>
          <w:sz w:val="26"/>
        </w:rPr>
        <w:t>2. Figure 1 — Closed-Loop System Architecture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2.1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Purpose of figure: </w:t>
      </w:r>
      <w:r>
        <w:rPr>
          <w:rFonts w:ascii="Calibri" w:hAnsi="Calibri" w:eastAsia="Calibri"/>
          <w:b w:val="0"/>
          <w:i w:val="0"/>
          <w:color w:val="1F2937"/>
          <w:sz w:val="21"/>
        </w:rPr>
        <w:t>Use this diagram first to explain the closed loop before opening the live software.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2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bloc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Calibri"/>
          <w:b/>
          <w:i/>
          <w:color w:val="64748B"/>
          <w:sz w:val="18"/>
        </w:rPr>
        <w:t>Figure 1: Closed-Loop Cognitive Radio System Architecture under Electronic Attack.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2.2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Narration point 1: </w:t>
      </w:r>
      <w:r>
        <w:rPr>
          <w:rFonts w:ascii="Calibri" w:hAnsi="Calibri" w:eastAsia="Calibri"/>
          <w:b w:val="0"/>
          <w:i w:val="0"/>
          <w:color w:val="1F2937"/>
          <w:sz w:val="21"/>
        </w:rPr>
        <w:t>Jammer injects hostile ECM power into the contested RF medium.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2.3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Narration point 2: </w:t>
      </w:r>
      <w:r>
        <w:rPr>
          <w:rFonts w:ascii="Calibri" w:hAnsi="Calibri" w:eastAsia="Calibri"/>
          <w:b w:val="0"/>
          <w:i w:val="0"/>
          <w:color w:val="1F2937"/>
          <w:sz w:val="21"/>
        </w:rPr>
        <w:t>Receiver performs ES sensing and issues CRRequest telemetry.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2.4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Narration point 3: </w:t>
      </w:r>
      <w:r>
        <w:rPr>
          <w:rFonts w:ascii="Calibri" w:hAnsi="Calibri" w:eastAsia="Calibri"/>
          <w:b w:val="0"/>
          <w:i w:val="0"/>
          <w:color w:val="1F2937"/>
          <w:sz w:val="21"/>
        </w:rPr>
        <w:t>Cognitive Decision Engine &amp; ML apply hybrid safety and adaptive hop logic.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2.5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Narration point 4: </w:t>
      </w:r>
      <w:r>
        <w:rPr>
          <w:rFonts w:ascii="Calibri" w:hAnsi="Calibri" w:eastAsia="Calibri"/>
          <w:b w:val="0"/>
          <w:i w:val="0"/>
          <w:color w:val="1F2937"/>
          <w:sz w:val="21"/>
        </w:rPr>
        <w:t>Transmitter actuates approved carrier / power / hop set and closes the RF loop.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B2A5B"/>
          <w:sz w:val="26"/>
        </w:rPr>
        <w:t>3. Figure 2 — Live Modular Node UI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3.1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Purpose of figure: </w:t>
      </w:r>
      <w:r>
        <w:rPr>
          <w:rFonts w:ascii="Calibri" w:hAnsi="Calibri" w:eastAsia="Calibri"/>
          <w:b w:val="0"/>
          <w:i w:val="0"/>
          <w:color w:val="1F2937"/>
          <w:sz w:val="21"/>
        </w:rPr>
        <w:t>Use this screenshot to show the agreed look-and-feel of Jammer, Receiver, and Transmitter with attached 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65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dular_node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5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Calibri"/>
          <w:b/>
          <w:i/>
          <w:color w:val="64748B"/>
          <w:sz w:val="18"/>
        </w:rPr>
        <w:t>Figure 2: Live Cognitive Radio Simulation — Modular System Architecture &amp; Node View.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3.2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Left panel — Jammer: </w:t>
      </w:r>
      <w:r>
        <w:rPr>
          <w:rFonts w:ascii="Calibri" w:hAnsi="Calibri" w:eastAsia="Calibri"/>
          <w:b w:val="0"/>
          <w:i w:val="0"/>
          <w:color w:val="1F2937"/>
          <w:sz w:val="21"/>
        </w:rPr>
        <w:t>ECM threat profile, jam power, emit/silence, quick Spot / Multi presets.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3.3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Centre panel — Receiver: </w:t>
      </w:r>
      <w:r>
        <w:rPr>
          <w:rFonts w:ascii="Calibri" w:hAnsi="Calibri" w:eastAsia="Calibri"/>
          <w:b w:val="0"/>
          <w:i w:val="0"/>
          <w:color w:val="1F2937"/>
          <w:sz w:val="21"/>
        </w:rPr>
        <w:t>FREE / DEGRADED / BLOCKED counts and Channel Spectrum State Map — this is interference capture.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3.4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Right panel — Transmitter: </w:t>
      </w:r>
      <w:r>
        <w:rPr>
          <w:rFonts w:ascii="Calibri" w:hAnsi="Calibri" w:eastAsia="Calibri"/>
          <w:b w:val="0"/>
          <w:i w:val="0"/>
          <w:color w:val="1F2937"/>
          <w:sz w:val="21"/>
        </w:rPr>
        <w:t>Active carrier, power, hopping mode, and Attached MLP Policy with proposal, confidence, and dispatched action.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3.5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Demo tip: </w:t>
      </w:r>
      <w:r>
        <w:rPr>
          <w:rFonts w:ascii="Calibri" w:hAnsi="Calibri" w:eastAsia="Calibri"/>
          <w:b w:val="0"/>
          <w:i w:val="0"/>
          <w:color w:val="1F2937"/>
          <w:sz w:val="21"/>
        </w:rPr>
        <w:t>While speaking, point physically to each coloured column so the panel links architecture (Figure 1) to live UI (Figure 2).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B2A5B"/>
          <w:sz w:val="26"/>
        </w:rPr>
        <w:t>4. Before the Meeting — Preparation Checklist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4.1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Start the application: </w:t>
      </w:r>
      <w:r>
        <w:rPr>
          <w:rFonts w:ascii="Calibri" w:hAnsi="Calibri" w:eastAsia="Calibri"/>
          <w:b w:val="0"/>
          <w:i w:val="0"/>
          <w:color w:val="1F2937"/>
          <w:sz w:val="21"/>
        </w:rPr>
        <w:t>python -m streamlit run app.py --server.port 8501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4.2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Open browser: </w:t>
      </w:r>
      <w:r>
        <w:rPr>
          <w:rFonts w:ascii="Calibri" w:hAnsi="Calibri" w:eastAsia="Calibri"/>
          <w:b w:val="0"/>
          <w:i w:val="0"/>
          <w:color w:val="1F2937"/>
          <w:sz w:val="21"/>
        </w:rPr>
        <w:t>http://localhost:8501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4.3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Preferred view: </w:t>
      </w:r>
      <w:r>
        <w:rPr>
          <w:rFonts w:ascii="Calibri" w:hAnsi="Calibri" w:eastAsia="Calibri"/>
          <w:b w:val="0"/>
          <w:i w:val="0"/>
          <w:color w:val="1F2937"/>
          <w:sz w:val="21"/>
        </w:rPr>
        <w:t>System Architecture &amp; Node View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4.4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Defaults: </w:t>
      </w:r>
      <w:r>
        <w:rPr>
          <w:rFonts w:ascii="Calibri" w:hAnsi="Calibri" w:eastAsia="Calibri"/>
          <w:b w:val="0"/>
          <w:i w:val="0"/>
          <w:color w:val="1F2937"/>
          <w:sz w:val="21"/>
        </w:rPr>
        <w:t>N=8; Decision engine=HYBRID; Hopping OFF initially; Light theme if bright room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4.5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Train ML once: </w:t>
      </w:r>
      <w:r>
        <w:rPr>
          <w:rFonts w:ascii="Calibri" w:hAnsi="Calibri" w:eastAsia="Calibri"/>
          <w:b w:val="0"/>
          <w:i w:val="0"/>
          <w:color w:val="1F2937"/>
          <w:sz w:val="21"/>
        </w:rPr>
        <w:t>Complete training before audience arrival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4.6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Reset jammer: </w:t>
      </w:r>
      <w:r>
        <w:rPr>
          <w:rFonts w:ascii="Calibri" w:hAnsi="Calibri" w:eastAsia="Calibri"/>
          <w:b w:val="0"/>
          <w:i w:val="0"/>
          <w:color w:val="1F2937"/>
          <w:sz w:val="21"/>
        </w:rPr>
        <w:t>NONE / clear for benign opening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4.7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Keep ready: </w:t>
      </w:r>
      <w:r>
        <w:rPr>
          <w:rFonts w:ascii="Calibri" w:hAnsi="Calibri" w:eastAsia="Calibri"/>
          <w:b w:val="0"/>
          <w:i w:val="0"/>
          <w:color w:val="1F2937"/>
          <w:sz w:val="21"/>
        </w:rPr>
        <w:t>This Word guide, the PowerPoint, Scenarios Brief, ML Q&amp;A Brief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4.8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Projector: </w:t>
      </w:r>
      <w:r>
        <w:rPr>
          <w:rFonts w:ascii="Calibri" w:hAnsi="Calibri" w:eastAsia="Calibri"/>
          <w:b w:val="0"/>
          <w:i w:val="0"/>
          <w:color w:val="1F2937"/>
          <w:sz w:val="21"/>
        </w:rPr>
        <w:t>Browser zoom 110–125% if needed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4.9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Time budget: </w:t>
      </w:r>
      <w:r>
        <w:rPr>
          <w:rFonts w:ascii="Calibri" w:hAnsi="Calibri" w:eastAsia="Calibri"/>
          <w:b w:val="0"/>
          <w:i w:val="0"/>
          <w:color w:val="1F2937"/>
          <w:sz w:val="21"/>
        </w:rPr>
        <w:t>20–25 minutes demo + 10–15 minutes questions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B2A5B"/>
          <w:sz w:val="26"/>
        </w:rPr>
        <w:t>5. Opening Remarks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5.1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Greeting: </w:t>
      </w:r>
      <w:r>
        <w:rPr>
          <w:rFonts w:ascii="Calibri" w:hAnsi="Calibri" w:eastAsia="Calibri"/>
          <w:b w:val="0"/>
          <w:i w:val="0"/>
          <w:color w:val="1F2937"/>
          <w:sz w:val="21"/>
        </w:rPr>
        <w:t>Sir, today we demonstrate Cognitive Radio software simulation under contested EW conditions.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5.2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Positioning: </w:t>
      </w:r>
      <w:r>
        <w:rPr>
          <w:rFonts w:ascii="Calibri" w:hAnsi="Calibri" w:eastAsia="Calibri"/>
          <w:b w:val="0"/>
          <w:i w:val="0"/>
          <w:color w:val="1F2937"/>
          <w:sz w:val="21"/>
        </w:rPr>
        <w:t>PC software closed-loop twin; later eADM / SDR can replace the channel simulator using the same decision interfaces.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5.3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Three proofs: </w:t>
      </w:r>
      <w:r>
        <w:rPr>
          <w:rFonts w:ascii="Calibri" w:hAnsi="Calibri" w:eastAsia="Calibri"/>
          <w:b w:val="0"/>
          <w:i w:val="0"/>
          <w:color w:val="1F2937"/>
          <w:sz w:val="21"/>
        </w:rPr>
        <w:t>Interference capture; hybrid ML safety decisions; dynamic FH from cognitive decisions.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5.4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Invite interaction: </w:t>
      </w:r>
      <w:r>
        <w:rPr>
          <w:rFonts w:ascii="Calibri" w:hAnsi="Calibri" w:eastAsia="Calibri"/>
          <w:b w:val="0"/>
          <w:i w:val="0"/>
          <w:color w:val="1F2937"/>
          <w:sz w:val="21"/>
        </w:rPr>
        <w:t>Please interrupt to change jammer profile or decision mode.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B2A5B"/>
          <w:sz w:val="26"/>
        </w:rPr>
        <w:t>6. Live Demonstration Sequence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6.1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Action: </w:t>
      </w:r>
      <w:r>
        <w:rPr>
          <w:rFonts w:ascii="Calibri" w:hAnsi="Calibri" w:eastAsia="Calibri"/>
          <w:b w:val="0"/>
          <w:i w:val="0"/>
          <w:color w:val="1F2937"/>
          <w:sz w:val="21"/>
        </w:rPr>
        <w:t>Show Figure 1 architecture, then switch to live UI (Figure 2).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6.2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Action: </w:t>
      </w:r>
      <w:r>
        <w:rPr>
          <w:rFonts w:ascii="Calibri" w:hAnsi="Calibri" w:eastAsia="Calibri"/>
          <w:b w:val="0"/>
          <w:i w:val="0"/>
          <w:color w:val="1F2937"/>
          <w:sz w:val="21"/>
        </w:rPr>
        <w:t>Benign baseline — jammer NONE — status OK.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6.3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Action: </w:t>
      </w:r>
      <w:r>
        <w:rPr>
          <w:rFonts w:ascii="Calibri" w:hAnsi="Calibri" w:eastAsia="Calibri"/>
          <w:b w:val="0"/>
          <w:i w:val="0"/>
          <w:color w:val="1F2937"/>
          <w:sz w:val="21"/>
        </w:rPr>
        <w:t>Spot jam active carrier — show BLOCKED capture and HYBRID alternate channel.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6.4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Action: </w:t>
      </w:r>
      <w:r>
        <w:rPr>
          <w:rFonts w:ascii="Calibri" w:hAnsi="Calibri" w:eastAsia="Calibri"/>
          <w:b w:val="0"/>
          <w:i w:val="0"/>
          <w:color w:val="1F2937"/>
          <w:sz w:val="21"/>
        </w:rPr>
        <w:t>Enable cognitive hopping — jam hop-set member — show eviction and refill.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6.5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Action: </w:t>
      </w:r>
      <w:r>
        <w:rPr>
          <w:rFonts w:ascii="Calibri" w:hAnsi="Calibri" w:eastAsia="Calibri"/>
          <w:b w:val="0"/>
          <w:i w:val="0"/>
          <w:color w:val="1F2937"/>
          <w:sz w:val="21"/>
        </w:rPr>
        <w:t>Barrage — show INCREASE_POWER within headroom.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6.6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Action: </w:t>
      </w:r>
      <w:r>
        <w:rPr>
          <w:rFonts w:ascii="Calibri" w:hAnsi="Calibri" w:eastAsia="Calibri"/>
          <w:b w:val="0"/>
          <w:i w:val="0"/>
          <w:color w:val="1F2937"/>
          <w:sz w:val="21"/>
        </w:rPr>
        <w:t>Explain Stages 2–3 of the Decision Engine trace (ML proposal + safety).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B2A5B"/>
          <w:sz w:val="26"/>
        </w:rPr>
        <w:t>7. Machine Learning Speaking Points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7.1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Model: </w:t>
      </w:r>
      <w:r>
        <w:rPr>
          <w:rFonts w:ascii="Calibri" w:hAnsi="Calibri" w:eastAsia="Calibri"/>
          <w:b w:val="0"/>
          <w:i w:val="0"/>
          <w:color w:val="1F2937"/>
          <w:sz w:val="21"/>
        </w:rPr>
        <w:t>Supervised MLP 64×32, ReLU, Adam.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7.2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Input: </w:t>
      </w:r>
      <w:r>
        <w:rPr>
          <w:rFonts w:ascii="Calibri" w:hAnsi="Calibri" w:eastAsia="Calibri"/>
          <w:b w:val="0"/>
          <w:i w:val="0"/>
          <w:color w:val="1F2937"/>
          <w:sz w:val="21"/>
        </w:rPr>
        <w:t>3N+2 features (N=8 → 26 normalised sensing features).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7.3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Output: </w:t>
      </w:r>
      <w:r>
        <w:rPr>
          <w:rFonts w:ascii="Calibri" w:hAnsi="Calibri" w:eastAsia="Calibri"/>
          <w:b w:val="0"/>
          <w:i w:val="0"/>
          <w:color w:val="1F2937"/>
          <w:sz w:val="21"/>
        </w:rPr>
        <w:t>Channel recommendation or INCREASE_POWER with Softmax confidence.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7.4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Preferred mode: </w:t>
      </w:r>
      <w:r>
        <w:rPr>
          <w:rFonts w:ascii="Calibri" w:hAnsi="Calibri" w:eastAsia="Calibri"/>
          <w:b w:val="0"/>
          <w:i w:val="0"/>
          <w:color w:val="1F2937"/>
          <w:sz w:val="21"/>
        </w:rPr>
        <w:t>HYBRID — ML proposes, deterministic safety validates.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7.5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Assurance: </w:t>
      </w:r>
      <w:r>
        <w:rPr>
          <w:rFonts w:ascii="Calibri" w:hAnsi="Calibri" w:eastAsia="Calibri"/>
          <w:b w:val="0"/>
          <w:i w:val="0"/>
          <w:color w:val="1F2937"/>
          <w:sz w:val="21"/>
        </w:rPr>
        <w:t>ML is advisory; safety gate prevents hops into BLOCKED channels.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B2A5B"/>
          <w:sz w:val="26"/>
        </w:rPr>
        <w:t>8. Closing Statement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8.1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Closing: </w:t>
      </w:r>
      <w:r>
        <w:rPr>
          <w:rFonts w:ascii="Calibri" w:hAnsi="Calibri" w:eastAsia="Calibri"/>
          <w:b w:val="0"/>
          <w:i w:val="0"/>
          <w:color w:val="1F2937"/>
          <w:sz w:val="21"/>
        </w:rPr>
        <w:t>Sir, the simulation presents the agreed look-and-feel; captures interference through ES sensing; decides with hybrid ML under safety; and performs dynamic FH based on cognitive decisions. We request guidance for the next eADM laboratory step.</w:t>
      </w:r>
    </w:p>
    <w:p>
      <w:pPr>
        <w:spacing w:before="40" w:after="100" w:line="276" w:lineRule="auto"/>
        <w:ind w:left="461" w:hanging="461"/>
      </w:pPr>
      <w:r>
        <w:rPr>
          <w:rFonts w:ascii="Calibri" w:hAnsi="Calibri" w:eastAsia="Calibri"/>
          <w:b/>
          <w:i w:val="0"/>
          <w:color w:val="0B2A5B"/>
          <w:sz w:val="21"/>
        </w:rPr>
        <w:t xml:space="preserve">8.2 </w:t>
      </w:r>
      <w:r>
        <w:rPr>
          <w:rFonts w:ascii="Calibri" w:hAnsi="Calibri" w:eastAsia="Calibri"/>
          <w:b/>
          <w:i w:val="0"/>
          <w:color w:val="1E293B"/>
          <w:sz w:val="21"/>
        </w:rPr>
        <w:t xml:space="preserve">End: </w:t>
      </w:r>
      <w:r>
        <w:rPr>
          <w:rFonts w:ascii="Calibri" w:hAnsi="Calibri" w:eastAsia="Calibri"/>
          <w:b w:val="0"/>
          <w:i w:val="0"/>
          <w:color w:val="1F2937"/>
          <w:sz w:val="21"/>
        </w:rPr>
        <w:t>Thank you, Sir. We are ready for questions.</w:t>
      </w:r>
    </w:p>
    <w:p>
      <w:pPr>
        <w:spacing w:after="80" w:line="276" w:lineRule="auto"/>
      </w:pP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0B2A5B"/>
          <w:sz w:val="18"/>
        </w:rPr>
        <w:t>Prepared by: eAge Innovations Technical Engineering Team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F2937"/>
          <w:sz w:val="18"/>
        </w:rPr>
        <w:t>For presentation to: Shri S. K. Sir &amp; Senior Defence Scientists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