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B2A5B"/>
          <w:sz w:val="24"/>
        </w:rPr>
        <w:t>eAge Innovations</w:t>
      </w:r>
    </w:p>
    <w:p>
      <w:pPr>
        <w:jc w:val="center"/>
      </w:pPr>
      <w:r>
        <w:rPr>
          <w:rFonts w:ascii="Calibri" w:hAnsi="Calibri" w:eastAsia="Calibri"/>
          <w:b/>
          <w:i w:val="0"/>
          <w:color w:val="0B2A5B"/>
          <w:sz w:val="28"/>
        </w:rPr>
        <w:t>Cognitive Radio Software Simulation</w:t>
      </w:r>
    </w:p>
    <w:p>
      <w:pPr>
        <w:jc w:val="center"/>
      </w:pPr>
      <w:r>
        <w:rPr>
          <w:rFonts w:ascii="Calibri" w:hAnsi="Calibri" w:eastAsia="Calibri"/>
          <w:b/>
          <w:i w:val="0"/>
          <w:sz w:val="24"/>
        </w:rPr>
        <w:t>Brief for Defence Officials — Contribution to Cognitive Radio Capability</w:t>
      </w:r>
    </w:p>
    <w:p>
      <w:pPr>
        <w:jc w:val="center"/>
      </w:pPr>
      <w:r>
        <w:rPr>
          <w:rFonts w:ascii="Calibri" w:hAnsi="Calibri" w:eastAsia="Calibri"/>
          <w:b w:val="0"/>
          <w:i w:val="0"/>
          <w:color w:val="555555"/>
          <w:sz w:val="20"/>
        </w:rPr>
        <w:t>Software-only demonstration of sensing, decision, and protection under jamming</w:t>
      </w:r>
    </w:p>
    <w:p>
      <w:pPr>
        <w:jc w:val="center"/>
      </w:pPr>
      <w:r>
        <w:rPr>
          <w:rFonts w:ascii="Calibri" w:hAnsi="Calibri" w:eastAsia="Calibri"/>
          <w:b w:val="0"/>
          <w:i w:val="0"/>
          <w:color w:val="555555"/>
          <w:sz w:val="20"/>
        </w:rPr>
        <w:t>September 2026</w:t>
      </w:r>
    </w:p>
    <w:p>
      <w:r>
        <w:rPr>
          <w:rFonts w:ascii="Calibri" w:hAnsi="Calibri" w:eastAsia="Calibri"/>
          <w:b w:val="0"/>
          <w:i w:val="0"/>
          <w:sz w:val="22"/>
        </w:rPr>
        <w:t>This brief explains, in formal terms, how the Cognitive Radio software simulation supports understanding, demonstration, and progressive development of Cognitive Radio capability for contested electromagnetic environments. It is intended for defence officials and technical reviewers.</w:t>
      </w:r>
    </w:p>
    <w:p>
      <w:pPr>
        <w:pStyle w:val="Heading1"/>
      </w:pPr>
      <w:r>
        <w:t>1. Purpose of this brief</w:t>
      </w:r>
    </w:p>
    <w:p>
      <w:pPr>
        <w:pStyle w:val="ListNumber"/>
      </w:pPr>
      <w:r>
        <w:rPr>
          <w:rFonts w:ascii="Calibri" w:hAnsi="Calibri" w:eastAsia="Calibri"/>
          <w:b w:val="0"/>
          <w:i w:val="0"/>
          <w:sz w:val="22"/>
        </w:rPr>
        <w:t>To state clearly what Cognitive Radio seeks to achieve in a military communications context.</w:t>
      </w:r>
    </w:p>
    <w:p>
      <w:pPr>
        <w:pStyle w:val="ListNumber"/>
      </w:pPr>
      <w:r>
        <w:rPr>
          <w:rFonts w:ascii="Calibri" w:hAnsi="Calibri" w:eastAsia="Calibri"/>
          <w:b w:val="0"/>
          <w:i w:val="0"/>
          <w:sz w:val="22"/>
        </w:rPr>
        <w:t>To describe how the present software simulation illustrates those objectives in a controlled, repeatable manner.</w:t>
      </w:r>
    </w:p>
    <w:p>
      <w:pPr>
        <w:pStyle w:val="ListNumber"/>
      </w:pPr>
      <w:r>
        <w:rPr>
          <w:rFonts w:ascii="Calibri" w:hAnsi="Calibri" w:eastAsia="Calibri"/>
          <w:b w:val="0"/>
          <w:i w:val="0"/>
          <w:sz w:val="22"/>
        </w:rPr>
        <w:t>To distinguish what is demonstrated today from what remains a subsequent hardware or programme step.</w:t>
      </w:r>
    </w:p>
    <w:p>
      <w:pPr>
        <w:pStyle w:val="ListNumber"/>
      </w:pPr>
      <w:r>
        <w:rPr>
          <w:rFonts w:ascii="Calibri" w:hAnsi="Calibri" w:eastAsia="Calibri"/>
          <w:b w:val="0"/>
          <w:i w:val="0"/>
          <w:sz w:val="22"/>
        </w:rPr>
        <w:t>To assist officials in assessing the practical value of the simulation for review, training, and decision support.</w:t>
      </w:r>
    </w:p>
    <w:p>
      <w:pPr>
        <w:pStyle w:val="Heading1"/>
      </w:pPr>
      <w:r>
        <w:t>2. Cognitive Radio in the defence context</w:t>
      </w:r>
    </w:p>
    <w:p>
      <w:r>
        <w:rPr>
          <w:rFonts w:ascii="Calibri" w:hAnsi="Calibri" w:eastAsia="Calibri"/>
          <w:b w:val="0"/>
          <w:i w:val="0"/>
          <w:sz w:val="22"/>
        </w:rPr>
        <w:t>Cognitive Radio refers to a radio system that observes the electromagnetic environment, assesses the quality of available channels, and adapts its transmission behaviour so that friendly communications remain effective when spectrum is congested or deliberately contested. In defence applications, this capability is closely related to Electronic Protection (Electronic Counter-Countermeasures), because the system must continue to operate in the presence of interference and jamming.</w:t>
      </w:r>
    </w:p>
    <w:p>
      <w:r>
        <w:rPr>
          <w:rFonts w:ascii="Calibri" w:hAnsi="Calibri" w:eastAsia="Calibri"/>
          <w:b w:val="0"/>
          <w:i w:val="0"/>
          <w:sz w:val="22"/>
        </w:rPr>
        <w:t>In practical terms, a Cognitive Radio function typically undertakes the following:</w:t>
      </w:r>
    </w:p>
    <w:p>
      <w:pPr>
        <w:pStyle w:val="ListNumber"/>
      </w:pPr>
      <w:r>
        <w:rPr>
          <w:rFonts w:ascii="Calibri" w:hAnsi="Calibri" w:eastAsia="Calibri"/>
          <w:b w:val="0"/>
          <w:i w:val="0"/>
          <w:sz w:val="22"/>
        </w:rPr>
        <w:t>Sense the condition of available channels from measurements, not from an assumed jammer identity.</w:t>
      </w:r>
    </w:p>
    <w:p>
      <w:pPr>
        <w:pStyle w:val="ListNumber"/>
      </w:pPr>
      <w:r>
        <w:rPr>
          <w:rFonts w:ascii="Calibri" w:hAnsi="Calibri" w:eastAsia="Calibri"/>
          <w:b w:val="0"/>
          <w:i w:val="0"/>
          <w:sz w:val="22"/>
        </w:rPr>
        <w:t>Decide which channel or channels remain usable.</w:t>
      </w:r>
    </w:p>
    <w:p>
      <w:pPr>
        <w:pStyle w:val="ListNumber"/>
      </w:pPr>
      <w:r>
        <w:rPr>
          <w:rFonts w:ascii="Calibri" w:hAnsi="Calibri" w:eastAsia="Calibri"/>
          <w:b w:val="0"/>
          <w:i w:val="0"/>
          <w:sz w:val="22"/>
        </w:rPr>
        <w:t>Act by switching channel, adapting a hop set, or adjusting transmit power within authorised limits.</w:t>
      </w:r>
    </w:p>
    <w:p>
      <w:pPr>
        <w:pStyle w:val="ListNumber"/>
      </w:pPr>
      <w:r>
        <w:rPr>
          <w:rFonts w:ascii="Calibri" w:hAnsi="Calibri" w:eastAsia="Calibri"/>
          <w:b w:val="0"/>
          <w:i w:val="0"/>
          <w:sz w:val="22"/>
        </w:rPr>
        <w:t>Explain the decision in a form that operators and reviewers can inspect (status and message).</w:t>
      </w:r>
    </w:p>
    <w:p>
      <w:pPr>
        <w:pStyle w:val="ListNumber"/>
      </w:pPr>
      <w:r>
        <w:rPr>
          <w:rFonts w:ascii="Calibri" w:hAnsi="Calibri" w:eastAsia="Calibri"/>
          <w:b w:val="0"/>
          <w:i w:val="0"/>
          <w:sz w:val="22"/>
        </w:rPr>
        <w:t>Learn, where machine learning is employed, from repeated exposure to contested conditions.</w:t>
      </w:r>
    </w:p>
    <w:p>
      <w:pPr>
        <w:pStyle w:val="Heading1"/>
      </w:pPr>
      <w:r>
        <w:t>3. How this software simulation helps Cognitive Radio</w:t>
      </w:r>
    </w:p>
    <w:p>
      <w:r>
        <w:rPr>
          <w:rFonts w:ascii="Calibri" w:hAnsi="Calibri" w:eastAsia="Calibri"/>
          <w:b w:val="0"/>
          <w:i w:val="0"/>
          <w:sz w:val="22"/>
        </w:rPr>
        <w:t>The simulation implements the Cognitive Radio decision loop entirely in software on a personal computer. It does not radiate radio-frequency energy and does not require field hardware for this demonstration phase. Its contribution is to make the Cognitive Radio cycle visible, measurable, and reviewable before costly hardware integration.</w:t>
      </w:r>
    </w:p>
    <w:p>
      <w:pPr>
        <w:pStyle w:val="Heading2"/>
      </w:pPr>
      <w:r>
        <w:t>3.1 It demonstrates spectrum awareness</w:t>
      </w:r>
    </w:p>
    <w:p>
      <w:pPr>
        <w:pStyle w:val="ListNumber"/>
      </w:pPr>
      <w:r>
        <w:rPr>
          <w:rFonts w:ascii="Calibri" w:hAnsi="Calibri" w:eastAsia="Calibri"/>
          <w:b w:val="0"/>
          <w:i w:val="0"/>
          <w:sz w:val="22"/>
        </w:rPr>
        <w:t>A configurable number of logical channels is modelled under noise, fading, and jam profiles.</w:t>
      </w:r>
    </w:p>
    <w:p>
      <w:pPr>
        <w:pStyle w:val="ListNumber"/>
      </w:pPr>
      <w:r>
        <w:rPr>
          <w:rFonts w:ascii="Calibri" w:hAnsi="Calibri" w:eastAsia="Calibri"/>
          <w:b w:val="0"/>
          <w:i w:val="0"/>
          <w:sz w:val="22"/>
        </w:rPr>
        <w:t>The receiver classifies each channel as FREE, DEGRADED, or BLOCKED from signal-quality measurements (for example SINR).</w:t>
      </w:r>
    </w:p>
    <w:p>
      <w:pPr>
        <w:pStyle w:val="ListNumber"/>
      </w:pPr>
      <w:r>
        <w:rPr>
          <w:rFonts w:ascii="Calibri" w:hAnsi="Calibri" w:eastAsia="Calibri"/>
          <w:b w:val="0"/>
          <w:i w:val="0"/>
          <w:sz w:val="22"/>
        </w:rPr>
        <w:t>This mirrors the Cognitive Radio requirement to judge the environment from observations rather than from privileged knowledge of the jammer.</w:t>
      </w:r>
    </w:p>
    <w:p>
      <w:pPr>
        <w:pStyle w:val="Heading2"/>
      </w:pPr>
      <w:r>
        <w:t>3.2 It demonstrates intelligent channel selection</w:t>
      </w:r>
    </w:p>
    <w:p>
      <w:pPr>
        <w:pStyle w:val="ListNumber"/>
      </w:pPr>
      <w:r>
        <w:rPr>
          <w:rFonts w:ascii="Calibri" w:hAnsi="Calibri" w:eastAsia="Calibri"/>
          <w:b w:val="0"/>
          <w:i w:val="0"/>
          <w:sz w:val="22"/>
        </w:rPr>
        <w:t>A Cognitive Radio engine recommends one or more channels, accompanied by a status code and a concise explanatory message.</w:t>
      </w:r>
    </w:p>
    <w:p>
      <w:pPr>
        <w:pStyle w:val="ListNumber"/>
      </w:pPr>
      <w:r>
        <w:rPr>
          <w:rFonts w:ascii="Calibri" w:hAnsi="Calibri" w:eastAsia="Calibri"/>
          <w:b w:val="0"/>
          <w:i w:val="0"/>
          <w:sz w:val="22"/>
        </w:rPr>
        <w:t>When all channels are unusable at the current power, the engine advises an authorised increase in transmit power, or reports that no solution remains within limits.</w:t>
      </w:r>
    </w:p>
    <w:p>
      <w:pPr>
        <w:pStyle w:val="ListNumber"/>
      </w:pPr>
      <w:r>
        <w:rPr>
          <w:rFonts w:ascii="Calibri" w:hAnsi="Calibri" w:eastAsia="Calibri"/>
          <w:b w:val="0"/>
          <w:i w:val="0"/>
          <w:sz w:val="22"/>
        </w:rPr>
        <w:t>Officials can therefore see not only that a decision was taken, but why it was taken.</w:t>
      </w:r>
    </w:p>
    <w:p>
      <w:pPr>
        <w:pStyle w:val="Heading2"/>
      </w:pPr>
      <w:r>
        <w:t>3.3 It demonstrates protection under jamming</w:t>
      </w:r>
    </w:p>
    <w:p>
      <w:pPr>
        <w:pStyle w:val="ListNumber"/>
      </w:pPr>
      <w:r>
        <w:rPr>
          <w:rFonts w:ascii="Calibri" w:hAnsi="Calibri" w:eastAsia="Calibri"/>
          <w:b w:val="0"/>
          <w:i w:val="0"/>
          <w:sz w:val="22"/>
        </w:rPr>
        <w:t>Jam profiles include spot, multi-spot, sweep, and barrage-style stress across channels.</w:t>
      </w:r>
    </w:p>
    <w:p>
      <w:pPr>
        <w:pStyle w:val="ListNumber"/>
      </w:pPr>
      <w:r>
        <w:rPr>
          <w:rFonts w:ascii="Calibri" w:hAnsi="Calibri" w:eastAsia="Calibri"/>
          <w:b w:val="0"/>
          <w:i w:val="0"/>
          <w:sz w:val="22"/>
        </w:rPr>
        <w:t>The closed loop shows the essential Electronic Protection behaviour: sense interference, decide, and switch (or raise power) so that the friendly link leaves jammed resources.</w:t>
      </w:r>
    </w:p>
    <w:p>
      <w:pPr>
        <w:pStyle w:val="ListNumber"/>
      </w:pPr>
      <w:r>
        <w:rPr>
          <w:rFonts w:ascii="Calibri" w:hAnsi="Calibri" w:eastAsia="Calibri"/>
          <w:b w:val="0"/>
          <w:i w:val="0"/>
          <w:sz w:val="22"/>
        </w:rPr>
        <w:t>Cognitive / adaptive hopping may be enabled so that hop-set membership is updated when channels remain persistently blocked, rather than relying only on a rigid sequence.</w:t>
      </w:r>
    </w:p>
    <w:p>
      <w:pPr>
        <w:pStyle w:val="Heading2"/>
      </w:pPr>
      <w:r>
        <w:t>3.4 It introduces machine learning in a controlled manner</w:t>
      </w:r>
    </w:p>
    <w:p>
      <w:pPr>
        <w:pStyle w:val="ListNumber"/>
      </w:pPr>
      <w:r>
        <w:rPr>
          <w:rFonts w:ascii="Calibri" w:hAnsi="Calibri" w:eastAsia="Calibri"/>
          <w:b w:val="0"/>
          <w:i w:val="0"/>
          <w:sz w:val="22"/>
        </w:rPr>
        <w:t>Rule-based decisions provide a transparent baseline suitable for audit and explanation.</w:t>
      </w:r>
    </w:p>
    <w:p>
      <w:pPr>
        <w:pStyle w:val="ListNumber"/>
      </w:pPr>
      <w:r>
        <w:rPr>
          <w:rFonts w:ascii="Calibri" w:hAnsi="Calibri" w:eastAsia="Calibri"/>
          <w:b w:val="0"/>
          <w:i w:val="0"/>
          <w:sz w:val="22"/>
        </w:rPr>
        <w:t>A supervised machine-learning recommender (multi-layer perceptron) may propose channel or power actions from the same observation format.</w:t>
      </w:r>
    </w:p>
    <w:p>
      <w:pPr>
        <w:pStyle w:val="ListNumber"/>
      </w:pPr>
      <w:r>
        <w:rPr>
          <w:rFonts w:ascii="Calibri" w:hAnsi="Calibri" w:eastAsia="Calibri"/>
          <w:b w:val="0"/>
          <w:i w:val="0"/>
          <w:sz w:val="22"/>
        </w:rPr>
        <w:t>Hybrid operation retains safety rules so that unsafe recommendations (for example a blocked channel) are not applied.</w:t>
      </w:r>
    </w:p>
    <w:p>
      <w:pPr>
        <w:pStyle w:val="ListNumber"/>
      </w:pPr>
      <w:r>
        <w:rPr>
          <w:rFonts w:ascii="Calibri" w:hAnsi="Calibri" w:eastAsia="Calibri"/>
          <w:b w:val="0"/>
          <w:i w:val="0"/>
          <w:sz w:val="22"/>
        </w:rPr>
        <w:t>This shows how Artificial Intelligence can assist Cognitive Radio without removing operator-visible accountability.</w:t>
      </w:r>
    </w:p>
    <w:p>
      <w:pPr>
        <w:pStyle w:val="Heading2"/>
      </w:pPr>
      <w:r>
        <w:t>3.5 It prepares a path to hardware without locking the design</w:t>
      </w:r>
    </w:p>
    <w:p>
      <w:pPr>
        <w:pStyle w:val="ListNumber"/>
      </w:pPr>
      <w:r>
        <w:rPr>
          <w:rFonts w:ascii="Calibri" w:hAnsi="Calibri" w:eastAsia="Calibri"/>
          <w:b w:val="0"/>
          <w:i w:val="0"/>
          <w:sz w:val="22"/>
        </w:rPr>
        <w:t>The simulation separates sensing, decision, and actuation behind clear interfaces.</w:t>
      </w:r>
    </w:p>
    <w:p>
      <w:pPr>
        <w:pStyle w:val="ListNumber"/>
      </w:pPr>
      <w:r>
        <w:rPr>
          <w:rFonts w:ascii="Calibri" w:hAnsi="Calibri" w:eastAsia="Calibri"/>
          <w:b w:val="0"/>
          <w:i w:val="0"/>
          <w:sz w:val="22"/>
        </w:rPr>
        <w:t>The same Cognitive Radio decision logic can later accept measurements from hardware platforms and issue channel or power commands, without redesigning the decision engine.</w:t>
      </w:r>
    </w:p>
    <w:p>
      <w:pPr>
        <w:pStyle w:val="ListNumber"/>
      </w:pPr>
      <w:r>
        <w:rPr>
          <w:rFonts w:ascii="Calibri" w:hAnsi="Calibri" w:eastAsia="Calibri"/>
          <w:b w:val="0"/>
          <w:i w:val="0"/>
          <w:sz w:val="22"/>
        </w:rPr>
        <w:t>Officials therefore obtain an early, low-risk demonstration of Cognitive Radio behaviour while preserving a disciplined route to subsequent integration.</w:t>
      </w:r>
    </w:p>
    <w:p>
      <w:pPr>
        <w:pStyle w:val="Heading1"/>
      </w:pPr>
      <w:r>
        <w:t>4. Mapping of Cognitive Radio needs to the simulation</w:t>
      </w:r>
    </w:p>
    <w:tbl>
      <w:tblPr>
        <w:tblStyle w:val="TableGrid"/>
        <w:tblW w:type="auto" w:w="0"/>
        <w:tblLook w:firstColumn="1" w:firstRow="1" w:lastColumn="0" w:lastRow="0" w:noHBand="0" w:noVBand="1" w:val="04A0"/>
      </w:tblPr>
      <w:tblGrid>
        <w:gridCol w:w="4824"/>
        <w:gridCol w:w="4824"/>
      </w:tblGrid>
      <w:tr>
        <w:tc>
          <w:tcPr>
            <w:tcW w:type="dxa" w:w="4824"/>
          </w:tcPr>
          <w:p>
            <w:r>
              <w:rPr>
                <w:rFonts w:ascii="Calibri" w:hAnsi="Calibri" w:eastAsia="Calibri"/>
                <w:b/>
                <w:i w:val="0"/>
                <w:color w:val="0B2A5B"/>
                <w:sz w:val="20"/>
              </w:rPr>
              <w:t>Cognitive Radio need</w:t>
            </w:r>
          </w:p>
        </w:tc>
        <w:tc>
          <w:tcPr>
            <w:tcW w:type="dxa" w:w="4824"/>
          </w:tcPr>
          <w:p>
            <w:r>
              <w:rPr>
                <w:rFonts w:ascii="Calibri" w:hAnsi="Calibri" w:eastAsia="Calibri"/>
                <w:b/>
                <w:i w:val="0"/>
                <w:color w:val="0B2A5B"/>
                <w:sz w:val="20"/>
              </w:rPr>
              <w:t>How the simulation addresses it</w:t>
            </w:r>
          </w:p>
        </w:tc>
      </w:tr>
      <w:tr>
        <w:tc>
          <w:tcPr>
            <w:tcW w:type="dxa" w:w="4824"/>
          </w:tcPr>
          <w:p>
            <w:r>
              <w:rPr>
                <w:rFonts w:ascii="Calibri" w:hAnsi="Calibri" w:eastAsia="Calibri"/>
                <w:b w:val="0"/>
                <w:i w:val="0"/>
                <w:sz w:val="20"/>
              </w:rPr>
              <w:t>Awareness of channel condition</w:t>
            </w:r>
          </w:p>
        </w:tc>
        <w:tc>
          <w:tcPr>
            <w:tcW w:type="dxa" w:w="4824"/>
          </w:tcPr>
          <w:p>
            <w:r>
              <w:rPr>
                <w:rFonts w:ascii="Calibri" w:hAnsi="Calibri" w:eastAsia="Calibri"/>
                <w:b w:val="0"/>
                <w:i w:val="0"/>
                <w:sz w:val="20"/>
              </w:rPr>
              <w:t>Configurable channel model; FREE / DEGRADED / BLOCKED from measured SINR</w:t>
            </w:r>
          </w:p>
        </w:tc>
      </w:tr>
      <w:tr>
        <w:tc>
          <w:tcPr>
            <w:tcW w:type="dxa" w:w="4824"/>
          </w:tcPr>
          <w:p>
            <w:r>
              <w:rPr>
                <w:rFonts w:ascii="Calibri" w:hAnsi="Calibri" w:eastAsia="Calibri"/>
                <w:b w:val="0"/>
                <w:i w:val="0"/>
                <w:sz w:val="20"/>
              </w:rPr>
              <w:t>Decision under contested spectrum</w:t>
            </w:r>
          </w:p>
        </w:tc>
        <w:tc>
          <w:tcPr>
            <w:tcW w:type="dxa" w:w="4824"/>
          </w:tcPr>
          <w:p>
            <w:r>
              <w:rPr>
                <w:rFonts w:ascii="Calibri" w:hAnsi="Calibri" w:eastAsia="Calibri"/>
                <w:b w:val="0"/>
                <w:i w:val="0"/>
                <w:sz w:val="20"/>
              </w:rPr>
              <w:t>Cognitive Radio engine returns recommended channels, status code, and message</w:t>
            </w:r>
          </w:p>
        </w:tc>
      </w:tr>
      <w:tr>
        <w:tc>
          <w:tcPr>
            <w:tcW w:type="dxa" w:w="4824"/>
          </w:tcPr>
          <w:p>
            <w:r>
              <w:rPr>
                <w:rFonts w:ascii="Calibri" w:hAnsi="Calibri" w:eastAsia="Calibri"/>
                <w:b w:val="0"/>
                <w:i w:val="0"/>
                <w:sz w:val="20"/>
              </w:rPr>
              <w:t>Protection against jamming</w:t>
            </w:r>
          </w:p>
        </w:tc>
        <w:tc>
          <w:tcPr>
            <w:tcW w:type="dxa" w:w="4824"/>
          </w:tcPr>
          <w:p>
            <w:r>
              <w:rPr>
                <w:rFonts w:ascii="Calibri" w:hAnsi="Calibri" w:eastAsia="Calibri"/>
                <w:b w:val="0"/>
                <w:i w:val="0"/>
                <w:sz w:val="20"/>
              </w:rPr>
              <w:t>Spot, multi-spot, sweep, and barrage-style jam; switch channel or increase power</w:t>
            </w:r>
          </w:p>
        </w:tc>
      </w:tr>
      <w:tr>
        <w:tc>
          <w:tcPr>
            <w:tcW w:type="dxa" w:w="4824"/>
          </w:tcPr>
          <w:p>
            <w:r>
              <w:rPr>
                <w:rFonts w:ascii="Calibri" w:hAnsi="Calibri" w:eastAsia="Calibri"/>
                <w:b w:val="0"/>
                <w:i w:val="0"/>
                <w:sz w:val="20"/>
              </w:rPr>
              <w:t>Adaptation over time</w:t>
            </w:r>
          </w:p>
        </w:tc>
        <w:tc>
          <w:tcPr>
            <w:tcW w:type="dxa" w:w="4824"/>
          </w:tcPr>
          <w:p>
            <w:r>
              <w:rPr>
                <w:rFonts w:ascii="Calibri" w:hAnsi="Calibri" w:eastAsia="Calibri"/>
                <w:b w:val="0"/>
                <w:i w:val="0"/>
                <w:sz w:val="20"/>
              </w:rPr>
              <w:t>Sweep jam and cognitive / adaptive hop-set updates</w:t>
            </w:r>
          </w:p>
        </w:tc>
      </w:tr>
      <w:tr>
        <w:tc>
          <w:tcPr>
            <w:tcW w:type="dxa" w:w="4824"/>
          </w:tcPr>
          <w:p>
            <w:r>
              <w:rPr>
                <w:rFonts w:ascii="Calibri" w:hAnsi="Calibri" w:eastAsia="Calibri"/>
                <w:b w:val="0"/>
                <w:i w:val="0"/>
                <w:sz w:val="20"/>
              </w:rPr>
              <w:t>Use of machine learning</w:t>
            </w:r>
          </w:p>
        </w:tc>
        <w:tc>
          <w:tcPr>
            <w:tcW w:type="dxa" w:w="4824"/>
          </w:tcPr>
          <w:p>
            <w:r>
              <w:rPr>
                <w:rFonts w:ascii="Calibri" w:hAnsi="Calibri" w:eastAsia="Calibri"/>
                <w:b w:val="0"/>
                <w:i w:val="0"/>
                <w:sz w:val="20"/>
              </w:rPr>
              <w:t>Rules, ML, and hybrid modes behind one inspectable interface</w:t>
            </w:r>
          </w:p>
        </w:tc>
      </w:tr>
      <w:tr>
        <w:tc>
          <w:tcPr>
            <w:tcW w:type="dxa" w:w="4824"/>
          </w:tcPr>
          <w:p>
            <w:r>
              <w:rPr>
                <w:rFonts w:ascii="Calibri" w:hAnsi="Calibri" w:eastAsia="Calibri"/>
                <w:b w:val="0"/>
                <w:i w:val="0"/>
                <w:sz w:val="20"/>
              </w:rPr>
              <w:t>Operator / reviewer confidence</w:t>
            </w:r>
          </w:p>
        </w:tc>
        <w:tc>
          <w:tcPr>
            <w:tcW w:type="dxa" w:w="4824"/>
          </w:tcPr>
          <w:p>
            <w:r>
              <w:rPr>
                <w:rFonts w:ascii="Calibri" w:hAnsi="Calibri" w:eastAsia="Calibri"/>
                <w:b w:val="0"/>
                <w:i w:val="0"/>
                <w:sz w:val="20"/>
              </w:rPr>
              <w:t>Channel map, decision history, and explicit status messages</w:t>
            </w:r>
          </w:p>
        </w:tc>
      </w:tr>
      <w:tr>
        <w:tc>
          <w:tcPr>
            <w:tcW w:type="dxa" w:w="4824"/>
          </w:tcPr>
          <w:p>
            <w:r>
              <w:rPr>
                <w:rFonts w:ascii="Calibri" w:hAnsi="Calibri" w:eastAsia="Calibri"/>
                <w:b w:val="0"/>
                <w:i w:val="0"/>
                <w:sz w:val="20"/>
              </w:rPr>
              <w:t>Progressive programme path</w:t>
            </w:r>
          </w:p>
        </w:tc>
        <w:tc>
          <w:tcPr>
            <w:tcW w:type="dxa" w:w="4824"/>
          </w:tcPr>
          <w:p>
            <w:r>
              <w:rPr>
                <w:rFonts w:ascii="Calibri" w:hAnsi="Calibri" w:eastAsia="Calibri"/>
                <w:b w:val="0"/>
                <w:i w:val="0"/>
                <w:sz w:val="20"/>
              </w:rPr>
              <w:t>Software-first demonstration with interfaces ready for later hardware connection</w:t>
            </w:r>
          </w:p>
        </w:tc>
      </w:tr>
    </w:tbl>
    <w:p>
      <w:pPr>
        <w:pStyle w:val="Heading1"/>
      </w:pPr>
      <w:r>
        <w:t>5. Operational benefit for defence review</w:t>
      </w:r>
    </w:p>
    <w:p>
      <w:pPr>
        <w:pStyle w:val="ListNumber"/>
      </w:pPr>
      <w:r>
        <w:rPr>
          <w:rFonts w:ascii="Calibri" w:hAnsi="Calibri" w:eastAsia="Calibri"/>
          <w:b w:val="0"/>
          <w:i w:val="0"/>
          <w:sz w:val="22"/>
        </w:rPr>
        <w:t>Provides a common reference demonstration that technical and non-technical stakeholders can observe together.</w:t>
      </w:r>
    </w:p>
    <w:p>
      <w:pPr>
        <w:pStyle w:val="ListNumber"/>
      </w:pPr>
      <w:r>
        <w:rPr>
          <w:rFonts w:ascii="Calibri" w:hAnsi="Calibri" w:eastAsia="Calibri"/>
          <w:b w:val="0"/>
          <w:i w:val="0"/>
          <w:sz w:val="22"/>
        </w:rPr>
        <w:t>Allows jam conditions to be injected and cleared live, so the Cognitive Radio response is seen immediately.</w:t>
      </w:r>
    </w:p>
    <w:p>
      <w:pPr>
        <w:pStyle w:val="ListNumber"/>
      </w:pPr>
      <w:r>
        <w:rPr>
          <w:rFonts w:ascii="Calibri" w:hAnsi="Calibri" w:eastAsia="Calibri"/>
          <w:b w:val="0"/>
          <w:i w:val="0"/>
          <w:sz w:val="22"/>
        </w:rPr>
        <w:t>Supports training and familiarisation with status codes, channel states, and decision messages.</w:t>
      </w:r>
    </w:p>
    <w:p>
      <w:pPr>
        <w:pStyle w:val="ListNumber"/>
      </w:pPr>
      <w:r>
        <w:rPr>
          <w:rFonts w:ascii="Calibri" w:hAnsi="Calibri" w:eastAsia="Calibri"/>
          <w:b w:val="0"/>
          <w:i w:val="0"/>
          <w:sz w:val="22"/>
        </w:rPr>
        <w:t>Reduces early programme risk by validating the decision concept in software before committing to full radio-frequency trials.</w:t>
      </w:r>
    </w:p>
    <w:p>
      <w:pPr>
        <w:pStyle w:val="ListNumber"/>
      </w:pPr>
      <w:r>
        <w:rPr>
          <w:rFonts w:ascii="Calibri" w:hAnsi="Calibri" w:eastAsia="Calibri"/>
          <w:b w:val="0"/>
          <w:i w:val="0"/>
          <w:sz w:val="22"/>
        </w:rPr>
        <w:t>Creates labelled scenarios that can support further machine-learning development under controlled conditions.</w:t>
      </w:r>
    </w:p>
    <w:p>
      <w:pPr>
        <w:pStyle w:val="Heading1"/>
      </w:pPr>
      <w:r>
        <w:t>6. Scope and limitations (stated for clarity)</w:t>
      </w:r>
    </w:p>
    <w:p>
      <w:pPr>
        <w:pStyle w:val="ListNumber"/>
      </w:pPr>
      <w:r>
        <w:rPr>
          <w:rFonts w:ascii="Calibri" w:hAnsi="Calibri" w:eastAsia="Calibri"/>
          <w:b w:val="0"/>
          <w:i w:val="0"/>
          <w:sz w:val="22"/>
        </w:rPr>
        <w:t>The present delivery is a software simulation on a personal computer.</w:t>
      </w:r>
    </w:p>
    <w:p>
      <w:pPr>
        <w:pStyle w:val="ListNumber"/>
      </w:pPr>
      <w:r>
        <w:rPr>
          <w:rFonts w:ascii="Calibri" w:hAnsi="Calibri" w:eastAsia="Calibri"/>
          <w:b w:val="0"/>
          <w:i w:val="0"/>
          <w:sz w:val="22"/>
        </w:rPr>
        <w:t>It does not claim radiated Electronic Attack or field Electronic Support performance.</w:t>
      </w:r>
    </w:p>
    <w:p>
      <w:pPr>
        <w:pStyle w:val="ListNumber"/>
      </w:pPr>
      <w:r>
        <w:rPr>
          <w:rFonts w:ascii="Calibri" w:hAnsi="Calibri" w:eastAsia="Calibri"/>
          <w:b w:val="0"/>
          <w:i w:val="0"/>
          <w:sz w:val="22"/>
        </w:rPr>
        <w:t>It does not claim a complete fielded Cognitive Radio product.</w:t>
      </w:r>
    </w:p>
    <w:p>
      <w:pPr>
        <w:pStyle w:val="ListNumber"/>
      </w:pPr>
      <w:r>
        <w:rPr>
          <w:rFonts w:ascii="Calibri" w:hAnsi="Calibri" w:eastAsia="Calibri"/>
          <w:b w:val="0"/>
          <w:i w:val="0"/>
          <w:sz w:val="22"/>
        </w:rPr>
        <w:t>Advanced waveform themes such as full Direct-Sequence Spread Spectrum hybridisation, physical adaptive antenna null steering, and complete Low Probability of Intercept waveform synthesis are treated as subsequent programme directions, not as claims of this software demonstration.</w:t>
      </w:r>
    </w:p>
    <w:p>
      <w:pPr>
        <w:pStyle w:val="ListNumber"/>
      </w:pPr>
      <w:r>
        <w:rPr>
          <w:rFonts w:ascii="Calibri" w:hAnsi="Calibri" w:eastAsia="Calibri"/>
          <w:b w:val="0"/>
          <w:i w:val="0"/>
          <w:sz w:val="22"/>
        </w:rPr>
        <w:t>These limitations are intentional: they keep the demonstration honest, inspectable, and focused on the Cognitive Radio decision loop.</w:t>
      </w:r>
    </w:p>
    <w:p>
      <w:pPr>
        <w:pStyle w:val="Heading1"/>
      </w:pPr>
      <w:r>
        <w:t>7. Summary for officials</w:t>
      </w:r>
    </w:p>
    <w:p>
      <w:r>
        <w:rPr>
          <w:rFonts w:ascii="Calibri" w:hAnsi="Calibri" w:eastAsia="Calibri"/>
          <w:b w:val="0"/>
          <w:i w:val="0"/>
          <w:sz w:val="22"/>
        </w:rPr>
        <w:t>Cognitive Radio capability depends on sensing the electromagnetic environment, deciding which resources remain usable, and acting to protect friendly communications under jam and congestion. This software simulation makes that cycle concrete. It shows channel condition, Cognitive Radio recommendation, transmitter response, and optional machine-learning assistance in a form suitable for structured technical review. It therefore helps defence stakeholders evaluate Cognitive Radio concepts early, with clear language, clear status codes, and a defined path toward later hardware integration.</w:t>
      </w:r>
    </w:p>
    <w:p>
      <w:pPr>
        <w:pStyle w:val="Heading1"/>
      </w:pPr>
      <w:r>
        <w:t>8. Closing</w:t>
      </w:r>
    </w:p>
    <w:p>
      <w:r>
        <w:rPr>
          <w:rFonts w:ascii="Calibri" w:hAnsi="Calibri" w:eastAsia="Calibri"/>
          <w:b w:val="0"/>
          <w:i w:val="0"/>
          <w:sz w:val="22"/>
        </w:rPr>
        <w:t>eAge Innovations welcomes review of this demonstration by defence officials and technical authorities. Feedback will be used to refine the Cognitive Radio decision interface and the subsequent integration path.</w:t>
      </w:r>
    </w:p>
    <w:p>
      <w:pPr>
        <w:jc w:val="center"/>
      </w:pPr>
      <w:r>
        <w:rPr>
          <w:rFonts w:ascii="Calibri" w:hAnsi="Calibri" w:eastAsia="Calibri"/>
          <w:b w:val="0"/>
          <w:i w:val="0"/>
          <w:color w:val="555555"/>
          <w:sz w:val="18"/>
        </w:rPr>
        <w:t>— End of brief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