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Temporal standard deviation of SLA as a function of distance from coast for individual tracks (dots) and their multi-track mean (solid lines) from X-TRACK (blue) and L2P (red) products. (c) Percentage of valid SLA observations available along-track plotted against GSHHG coastline distance, showing X-TRACK (blue) and L2P (red) individual track values (dots) and multi-track means (solid lines). The dashed vertical line in (b) and (c) marks the coastline.</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correted with ekman u component(blue) and AVISO msla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200km inshore of the coast for the satellite mission TP+J1+J2+J3+S6A. b) shows scatter plot with altimetry derived velocities corrected with ekman zonal velocities.The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572000"/>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Fig6: a) An intersection point very close to the east coast of India belonging to the satellite mission TP+J1+J2+J3+S6A. b) and c) show thirty year timeseries of along shore and across shore current components at the</w:t>
        <w:br/>
        <w:t>intersection of two satellite tracks (155, 116).</w:t>
      </w:r>
    </w:p>
    <w:p>
      <w:r>
        <w:br w:type="page"/>
      </w:r>
    </w:p>
    <w:p>
      <w:r>
        <w:drawing>
          <wp:inline xmlns:a="http://schemas.openxmlformats.org/drawingml/2006/main" xmlns:pic="http://schemas.openxmlformats.org/drawingml/2006/picture">
            <wp:extent cx="5486400" cy="4267200"/>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267200"/>
                    </a:xfrm>
                    <a:prstGeom prst="rect"/>
                  </pic:spPr>
                </pic:pic>
              </a:graphicData>
            </a:graphic>
          </wp:inline>
        </w:drawing>
      </w:r>
    </w:p>
    <w:p>
      <w:pPr>
        <w:jc w:val="both"/>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w:t>
      </w:r>
    </w:p>
    <w:p>
      <w:r>
        <w:br w:type="page"/>
      </w:r>
    </w:p>
    <w:p>
      <w:r>
        <w:drawing>
          <wp:inline xmlns:a="http://schemas.openxmlformats.org/drawingml/2006/main" xmlns:pic="http://schemas.openxmlformats.org/drawingml/2006/picture">
            <wp:extent cx="5486400" cy="3316433"/>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3316433"/>
                    </a:xfrm>
                    <a:prstGeom prst="rect"/>
                  </pic:spPr>
                </pic:pic>
              </a:graphicData>
            </a:graphic>
          </wp:inline>
        </w:drawing>
      </w:r>
    </w:p>
    <w:p>
      <w:pPr>
        <w:jc w:val="both"/>
      </w:pPr>
      <w:r>
        <w:rPr>
          <w:rFonts w:ascii="Times New Roman" w:hAnsi="Times New Roman"/>
          <w:sz w:val="24"/>
        </w:rPr>
        <w:t>Sup Fig1: Total number of coastal altimetry tracks for the region NINDIAN, temporal and spatial resolution of reference tracks for all the satellite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