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p.compare.std_mean.l2pVSxtrack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t>Fig1: Standard deviation of SLA of the tracks meeting the east coast of India for the satellite mission S3A compared between Xtrack along track products and AVISO l2p tracks.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.omni_uvVStrack_guv_c.ek.nearest.sel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t>Fig2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p.scatter_omniVSrama_uVSgu_ww_e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t>Fig3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2400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p.scatter_drifter_ve_vs_gu_ww_e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t>Fig4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57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p.radar_uvVStrack_guv.at.intersections_sing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t>Fig5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4481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p.gc.clim.cross_structure_x_arrows_map_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8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t>Fig6: Climatology of cross-track geostrophic currents for the months Mar (left) and Nov (right)</w:t>
        <w:br/>
        <w:t>derived from the satellite mission ERS1+ERS2+ENV+SRL. Only descending tracks are shown</w:t>
        <w:br/>
        <w:t>since cross track direction in this case makes small angle to the slope of the local coast which means</w:t>
        <w:br/>
        <w:t>that cross track geostrophic velocity is approximately along shelf.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25158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p.gc.clim.lat_wise.along_xwid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t>Fig7: Climatological mean cross-track velocities across the width of EICC for the months March</w:t>
        <w:br/>
        <w:t>and November at different latitudes.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5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p.along_shore_at_155_116.intersection.S6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4"/>
        </w:rPr>
        <w:t>Fig8: Thirty year timeseries of along shore and across shore current components at the</w:t>
        <w:br/>
        <w:t>intersection of two satellite tracks (155, 116) at point along the east coast of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