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Percentage of valid SLA observations available along-track plotted against GSHHG coastline distance, showing X-TRACK (blue) and L2P (red) individual track values (dots) and multi-track means (solid lines). The dashed vertical line in (b) and (c) marks the coastline. (c) Temporal standard deviation of SLA as a function of distance from coast for individual tracks (dots) and their multi-track mean (solid lines) from X-TRACK (blue) and L2P (red)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corrected with ekman u component(blue) and AVISO msla_uv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100km inshore of the coast for the satellite mission TP+J1+J2+J3+S6A. b) shows scatter plot with altimetry derived velocities corrected with ekman zonal velocities. The colorbar shows density of points in the scatter plot in terms of count. A redline passing through the points indicates linear fit and white dashed line represents perfect fit as a reference. The number of points, correlations and standard errors are shown in boxes in the upper left corner.</w:t>
      </w:r>
    </w:p>
    <w:p>
      <w:r>
        <w:br w:type="page"/>
      </w:r>
    </w:p>
    <w:p>
      <w:r>
        <w:drawing>
          <wp:inline xmlns:a="http://schemas.openxmlformats.org/drawingml/2006/main" xmlns:pic="http://schemas.openxmlformats.org/drawingml/2006/picture">
            <wp:extent cx="5486400" cy="4464647"/>
            <wp:docPr id="5" name="Picture 5"/>
            <wp:cNvGraphicFramePr>
              <a:graphicFrameLocks noChangeAspect="1"/>
            </wp:cNvGraphicFramePr>
            <a:graphic>
              <a:graphicData uri="http://schemas.openxmlformats.org/drawingml/2006/picture">
                <pic:pic>
                  <pic:nvPicPr>
                    <pic:cNvPr id="0" name="fig05_p.radar_rotatedVStrack_gc_c.ek.along.intersections.selected.one.png"/>
                    <pic:cNvPicPr/>
                  </pic:nvPicPr>
                  <pic:blipFill>
                    <a:blip r:embed="rId13"/>
                    <a:stretch>
                      <a:fillRect/>
                    </a:stretch>
                  </pic:blipFill>
                  <pic:spPr>
                    <a:xfrm>
                      <a:off x="0" y="0"/>
                      <a:ext cx="5486400" cy="4464647"/>
                    </a:xfrm>
                    <a:prstGeom prst="rect"/>
                  </pic:spPr>
                </pic:pic>
              </a:graphicData>
            </a:graphic>
          </wp:inline>
        </w:drawing>
      </w:r>
    </w:p>
    <w:p>
      <w:pPr>
        <w:jc w:val="both"/>
      </w:pPr>
      <w:r>
        <w:rPr>
          <w:rFonts w:ascii="Times New Roman" w:hAnsi="Times New Roman"/>
          <w:sz w:val="24"/>
        </w:rPr>
        <w:t>Fig5: Comparison of along-track cross-track velocity structure for the selected OR radar–altimeter intersection (track 165, S3A). (a) Map of the Bay of Bengal showing the selected Odisha radar region (OR) as polygon (shaded), satellite track segment, and intersection limits, with distance x measured from coast. (b) Time–distance section of geostrophic current plus Ekman component, (gc+uk). (c) Time–distance section of radar-derived velocity(rotated to cross track direction). (d) Skill metrics versus offshore distance: correlation (left axis; blue) and RMSE (right axis; red), each shown for cases without Ekman correction and with Ekman correction (legend). Only statistically significant correlations ((p&lt;0.05)) are retained.</w:t>
      </w:r>
    </w:p>
    <w:p>
      <w:r>
        <w:br w:type="page"/>
      </w:r>
    </w:p>
    <w:p>
      <w:r>
        <w:drawing>
          <wp:inline xmlns:a="http://schemas.openxmlformats.org/drawingml/2006/main" xmlns:pic="http://schemas.openxmlformats.org/drawingml/2006/picture">
            <wp:extent cx="5486400" cy="4193799"/>
            <wp:docPr id="6" name="Picture 6"/>
            <wp:cNvGraphicFramePr>
              <a:graphicFrameLocks noChangeAspect="1"/>
            </wp:cNvGraphicFramePr>
            <a:graphic>
              <a:graphicData uri="http://schemas.openxmlformats.org/drawingml/2006/picture">
                <pic:pic>
                  <pic:nvPicPr>
                    <pic:cNvPr id="0" name="fig06_p.speed_at_coastal_points.eicc.trends.all_in_one.ERS.png"/>
                    <pic:cNvPicPr/>
                  </pic:nvPicPr>
                  <pic:blipFill>
                    <a:blip r:embed="rId14"/>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Fig6: Long-term variability and linear trends of Ekman corrected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Isobaths of 200m(skyblue) and 1000m(red) are added.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7" name="Picture 7"/>
            <wp:cNvGraphicFramePr>
              <a:graphicFrameLocks noChangeAspect="1"/>
            </wp:cNvGraphicFramePr>
            <a:graphic>
              <a:graphicData uri="http://schemas.openxmlformats.org/drawingml/2006/picture">
                <pic:pic>
                  <pic:nvPicPr>
                    <pic:cNvPr id="0" name="fig07_plot_indian_ocean_regions_and_timeseries_pumping.png"/>
                    <pic:cNvPicPr/>
                  </pic:nvPicPr>
                  <pic:blipFill>
                    <a:blip r:embed="rId15"/>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Fig7: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5753660"/>
            <wp:docPr id="8" name="Picture 8"/>
            <wp:cNvGraphicFramePr>
              <a:graphicFrameLocks noChangeAspect="1"/>
            </wp:cNvGraphicFramePr>
            <a:graphic>
              <a:graphicData uri="http://schemas.openxmlformats.org/drawingml/2006/picture">
                <pic:pic>
                  <pic:nvPicPr>
                    <pic:cNvPr id="0" name="sup01_satellite_mission_time_spans_new.png"/>
                    <pic:cNvPicPr/>
                  </pic:nvPicPr>
                  <pic:blipFill>
                    <a:blip r:embed="rId16"/>
                    <a:stretch>
                      <a:fillRect/>
                    </a:stretch>
                  </pic:blipFill>
                  <pic:spPr>
                    <a:xfrm>
                      <a:off x="0" y="0"/>
                      <a:ext cx="5486400" cy="5753660"/>
                    </a:xfrm>
                    <a:prstGeom prst="rect"/>
                  </pic:spPr>
                </pic:pic>
              </a:graphicData>
            </a:graphic>
          </wp:inline>
        </w:drawing>
      </w:r>
    </w:p>
    <w:p>
      <w:pPr>
        <w:jc w:val="both"/>
      </w:pPr>
      <w:r>
        <w:rPr>
          <w:rFonts w:ascii="Times New Roman" w:hAnsi="Times New Roman"/>
          <w:sz w:val="24"/>
        </w:rPr>
        <w:t>Sup Fig1: Composite overview of mission coverage and data validity across altimeter satellites. (a) Mission timelines showing each satellite’s observation period, annotated with number of tracks, temporal sampling frequency, and spatial sampling resolution. (b) Track-wise mean valid-point percentage for each satellite, with colored curves indicating within-mission variability. (c) Satellite-level mean of valid-point percentage, summarizing overall data-validity performance across missions. Panel colors are consistent between (b) and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