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CBBA" w14:textId="464E7999" w:rsidR="002D4934" w:rsidRPr="0070725C" w:rsidRDefault="0070725C">
      <w:pPr>
        <w:rPr>
          <w:b/>
          <w:bCs/>
          <w:u w:val="single"/>
        </w:rPr>
      </w:pPr>
      <w:r w:rsidRPr="0070725C">
        <w:rPr>
          <w:b/>
          <w:bCs/>
          <w:u w:val="single"/>
        </w:rPr>
        <w:t>Technical Report</w:t>
      </w:r>
    </w:p>
    <w:sectPr w:rsidR="002D4934" w:rsidRPr="0070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5C"/>
    <w:rsid w:val="002D4934"/>
    <w:rsid w:val="0070725C"/>
    <w:rsid w:val="00E5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77A9"/>
  <w15:chartTrackingRefBased/>
  <w15:docId w15:val="{0318220E-F1CC-4056-B421-2FEACA83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sharma</dc:creator>
  <cp:keywords/>
  <dc:description/>
  <cp:lastModifiedBy>vasu sharma</cp:lastModifiedBy>
  <cp:revision>1</cp:revision>
  <dcterms:created xsi:type="dcterms:W3CDTF">2023-05-01T20:05:00Z</dcterms:created>
  <dcterms:modified xsi:type="dcterms:W3CDTF">2023-05-01T20:05:00Z</dcterms:modified>
</cp:coreProperties>
</file>