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F05CF4" w:rsidP="002A08F4">
      <w:pPr>
        <w:pStyle w:val="ListParagraph"/>
      </w:pPr>
      <w:r w:rsidRPr="00F05CF4">
        <w:t xml:space="preserve">The objective of this policy is to </w:t>
      </w:r>
      <w:r w:rsidR="00B93FD5">
        <w:t>define the scope and boundaries of</w:t>
      </w:r>
      <w:r w:rsidRPr="00F05CF4">
        <w:t xml:space="preserve"> </w:t>
      </w:r>
      <w:r>
        <w:t>Argus, the</w:t>
      </w:r>
      <w:r w:rsidRPr="00F05CF4">
        <w:t xml:space="preserve"> Information Securi</w:t>
      </w:r>
      <w:r w:rsidR="00B93FD5">
        <w:t>ty Management System (ISMS)</w:t>
      </w:r>
      <w:r>
        <w:t xml:space="preserve"> used for managing information s</w:t>
      </w:r>
      <w:r w:rsidRPr="00F05CF4">
        <w:t>ecurity risks</w:t>
      </w:r>
      <w:r>
        <w:t xml:space="preserve"> at the Electronics Department of NSCL.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6B492E" w:rsidP="000E189E">
      <w:pPr>
        <w:pStyle w:val="ListParagraph"/>
      </w:pPr>
      <w:r>
        <w:t xml:space="preserve">This policy is applicable to the Electronics Department’s </w:t>
      </w:r>
      <w:r w:rsidRPr="003957DF">
        <w:rPr>
          <w:i/>
          <w:u w:val="single"/>
        </w:rPr>
        <w:t>ISMS</w:t>
      </w:r>
      <w:r>
        <w:t>.</w:t>
      </w:r>
    </w:p>
    <w:p w:rsidR="0030055B" w:rsidRDefault="0030055B" w:rsidP="002A08F4">
      <w:pPr>
        <w:pStyle w:val="Heading1"/>
      </w:pPr>
      <w:r>
        <w:t>Definitions</w:t>
      </w:r>
    </w:p>
    <w:p w:rsidR="006B6614" w:rsidRPr="006B6614" w:rsidRDefault="006B6614" w:rsidP="006B6614">
      <w:pPr>
        <w:pStyle w:val="ListParagraph"/>
      </w:pPr>
      <w:r>
        <w:t xml:space="preserve">In this document, </w:t>
      </w:r>
      <w:r w:rsidR="009F36A6">
        <w:t>information security related terms</w:t>
      </w:r>
      <w:r>
        <w:t xml:space="preserve"> have been marked in </w:t>
      </w:r>
      <w:r w:rsidRPr="006B6614">
        <w:rPr>
          <w:i/>
          <w:u w:val="single"/>
        </w:rPr>
        <w:t>underlined</w:t>
      </w:r>
      <w:r>
        <w:t xml:space="preserve"> </w:t>
      </w:r>
      <w:r w:rsidRPr="006B6614">
        <w:rPr>
          <w:i/>
          <w:u w:val="single"/>
        </w:rPr>
        <w:t>italics</w:t>
      </w:r>
      <w:r>
        <w:t xml:space="preserve">. For their definitions, refer to the standard </w:t>
      </w:r>
      <w:r w:rsidRPr="006B6614">
        <w:rPr>
          <w:i/>
        </w:rPr>
        <w:t>EE-ISMS-S001 Terms and Definitions</w:t>
      </w:r>
      <w:r>
        <w:t>.</w:t>
      </w:r>
    </w:p>
    <w:p w:rsidR="0030055B" w:rsidRDefault="0030055B" w:rsidP="002A08F4">
      <w:pPr>
        <w:pStyle w:val="Heading1"/>
      </w:pPr>
      <w:r>
        <w:t>Policy</w:t>
      </w:r>
      <w:r w:rsidR="00C955A7">
        <w:t xml:space="preserve"> Statement</w:t>
      </w:r>
    </w:p>
    <w:p w:rsidR="002F11D6" w:rsidRDefault="00BB7C4F" w:rsidP="0024257D">
      <w:pPr>
        <w:pStyle w:val="ListParagraph"/>
        <w:numPr>
          <w:ilvl w:val="1"/>
          <w:numId w:val="1"/>
        </w:numPr>
      </w:pPr>
      <w:r>
        <w:t xml:space="preserve">The </w:t>
      </w:r>
      <w:r w:rsidR="00E60C4C">
        <w:t xml:space="preserve">ISMS </w:t>
      </w:r>
      <w:r w:rsidR="00586E33">
        <w:t xml:space="preserve">(Argus) </w:t>
      </w:r>
      <w:r w:rsidR="00E60C4C">
        <w:t>is applicable to the Electronics Department with</w:t>
      </w:r>
      <w:r w:rsidR="002F11D6">
        <w:t>in</w:t>
      </w:r>
      <w:r w:rsidR="00E60C4C">
        <w:t xml:space="preserve"> the National Superconducting Cyclotron Laboratory </w:t>
      </w:r>
      <w:r w:rsidR="00B95D3A">
        <w:t xml:space="preserve">(NSCL) </w:t>
      </w:r>
      <w:r w:rsidR="00E60C4C">
        <w:t>located on the campus of Michigan State University in East Lansing, Michigan, USA.</w:t>
      </w:r>
    </w:p>
    <w:p w:rsidR="00B95D3A" w:rsidRDefault="00452845" w:rsidP="009F36A6">
      <w:pPr>
        <w:pStyle w:val="ListParagraph"/>
        <w:numPr>
          <w:ilvl w:val="1"/>
          <w:numId w:val="1"/>
        </w:numPr>
      </w:pPr>
      <w:r>
        <w:t>Argus is</w:t>
      </w:r>
      <w:r w:rsidR="00BB7C4F">
        <w:t xml:space="preserve"> </w:t>
      </w:r>
      <w:r w:rsidR="00B95D3A">
        <w:t xml:space="preserve">applicable to </w:t>
      </w:r>
      <w:r w:rsidR="00233618">
        <w:t>the</w:t>
      </w:r>
      <w:r w:rsidR="00B95D3A">
        <w:t xml:space="preserve"> extent of </w:t>
      </w:r>
      <w:r w:rsidR="00233618">
        <w:t xml:space="preserve">NSCL’s </w:t>
      </w:r>
      <w:r w:rsidR="00B95D3A">
        <w:t xml:space="preserve">Computer </w:t>
      </w:r>
      <w:r w:rsidR="00233618">
        <w:t>Department</w:t>
      </w:r>
      <w:r w:rsidR="00B95D3A">
        <w:t xml:space="preserve"> </w:t>
      </w:r>
      <w:r w:rsidR="00233618">
        <w:t>that</w:t>
      </w:r>
      <w:r w:rsidR="00B95D3A">
        <w:t xml:space="preserve"> provides services to the Electronics Department. </w:t>
      </w:r>
    </w:p>
    <w:p w:rsidR="00F717B3" w:rsidRDefault="00452845" w:rsidP="009F36A6">
      <w:pPr>
        <w:pStyle w:val="ListParagraph"/>
        <w:numPr>
          <w:ilvl w:val="1"/>
          <w:numId w:val="1"/>
        </w:numPr>
      </w:pPr>
      <w:r>
        <w:t>Argus’</w:t>
      </w:r>
      <w:r w:rsidR="00315578">
        <w:t xml:space="preserve"> physical boundaries are</w:t>
      </w:r>
      <w:r w:rsidR="00B95D3A">
        <w:t xml:space="preserve"> limited to the </w:t>
      </w:r>
      <w:r w:rsidR="00315578">
        <w:t>area</w:t>
      </w:r>
      <w:r w:rsidR="00B95D3A">
        <w:t xml:space="preserve"> in which the Electronics Department’s </w:t>
      </w:r>
      <w:r w:rsidR="00DC3A8E">
        <w:t xml:space="preserve">operations and </w:t>
      </w:r>
      <w:r w:rsidR="00B95D3A">
        <w:t>information assets are located</w:t>
      </w:r>
      <w:r w:rsidR="00164A24">
        <w:t>.</w:t>
      </w:r>
    </w:p>
    <w:p w:rsidR="007226F5" w:rsidRDefault="00452845" w:rsidP="007226F5">
      <w:pPr>
        <w:pStyle w:val="ListParagraph"/>
        <w:numPr>
          <w:ilvl w:val="1"/>
          <w:numId w:val="1"/>
        </w:numPr>
      </w:pPr>
      <w:r>
        <w:t>Argus is</w:t>
      </w:r>
      <w:r w:rsidR="00BB7C4F">
        <w:t xml:space="preserve"> </w:t>
      </w:r>
      <w:r w:rsidR="007226F5">
        <w:t>applicable to all employees of the Electronics Department even though they may be working</w:t>
      </w:r>
      <w:r w:rsidR="00075D3C">
        <w:t>, fully or partially,</w:t>
      </w:r>
      <w:r w:rsidR="007226F5">
        <w:t xml:space="preserve"> on projects for other organizations.</w:t>
      </w:r>
      <w:r w:rsidR="00116D10">
        <w:t xml:space="preserve"> </w:t>
      </w:r>
    </w:p>
    <w:p w:rsidR="00BE550F" w:rsidRDefault="00BE550F" w:rsidP="007226F5">
      <w:pPr>
        <w:pStyle w:val="ListParagraph"/>
        <w:numPr>
          <w:ilvl w:val="1"/>
          <w:numId w:val="1"/>
        </w:numPr>
      </w:pPr>
      <w:r>
        <w:t xml:space="preserve">Argus is applicable to those users who are </w:t>
      </w:r>
      <w:r w:rsidR="002E7D55">
        <w:t>working for the Electronics Department. This includes vendors, contractors, and employees of other departments.</w:t>
      </w:r>
    </w:p>
    <w:p w:rsidR="00953872" w:rsidRDefault="00452845" w:rsidP="009F36A6">
      <w:pPr>
        <w:pStyle w:val="ListParagraph"/>
        <w:numPr>
          <w:ilvl w:val="1"/>
          <w:numId w:val="1"/>
        </w:numPr>
      </w:pPr>
      <w:r>
        <w:t>Argus is</w:t>
      </w:r>
      <w:r w:rsidR="00BB7C4F">
        <w:t xml:space="preserve"> </w:t>
      </w:r>
      <w:r w:rsidR="00451C0A">
        <w:t xml:space="preserve">applicable to the </w:t>
      </w:r>
      <w:r w:rsidR="00451C0A" w:rsidRPr="00FC6150">
        <w:rPr>
          <w:i/>
          <w:u w:val="single"/>
        </w:rPr>
        <w:t>techn</w:t>
      </w:r>
      <w:r w:rsidR="001955B8">
        <w:rPr>
          <w:i/>
          <w:u w:val="single"/>
        </w:rPr>
        <w:t>ology</w:t>
      </w:r>
      <w:r w:rsidR="00451C0A" w:rsidRPr="00FC6150">
        <w:rPr>
          <w:i/>
          <w:u w:val="single"/>
        </w:rPr>
        <w:t xml:space="preserve">, physical, </w:t>
      </w:r>
      <w:r w:rsidR="00FC6150" w:rsidRPr="00FC6150">
        <w:rPr>
          <w:i/>
          <w:u w:val="single"/>
        </w:rPr>
        <w:t xml:space="preserve">and </w:t>
      </w:r>
      <w:r w:rsidR="00451C0A" w:rsidRPr="00FC6150">
        <w:rPr>
          <w:i/>
          <w:u w:val="single"/>
        </w:rPr>
        <w:t xml:space="preserve">human information </w:t>
      </w:r>
      <w:r w:rsidR="001418CF">
        <w:rPr>
          <w:i/>
          <w:u w:val="single"/>
        </w:rPr>
        <w:t>assets</w:t>
      </w:r>
      <w:r w:rsidR="001418CF">
        <w:t xml:space="preserve"> of the Electronics Department.</w:t>
      </w:r>
    </w:p>
    <w:p w:rsidR="00C72283" w:rsidRDefault="00C72283" w:rsidP="00116D10"/>
    <w:p w:rsidR="00C955A7" w:rsidRDefault="00C955A7" w:rsidP="008D5C4F">
      <w:pPr>
        <w:pStyle w:val="Heading1"/>
      </w:pPr>
      <w:r w:rsidRPr="008D5C4F">
        <w:t>Exceptions</w:t>
      </w:r>
    </w:p>
    <w:p w:rsidR="00315578" w:rsidRDefault="00315578" w:rsidP="00315578">
      <w:pPr>
        <w:pStyle w:val="ListParagraph"/>
        <w:numPr>
          <w:ilvl w:val="1"/>
          <w:numId w:val="1"/>
        </w:numPr>
      </w:pPr>
      <w:r>
        <w:t>Argus is not applicable to the entire Computer Department.</w:t>
      </w:r>
    </w:p>
    <w:p w:rsidR="00315578" w:rsidRPr="00315578" w:rsidRDefault="00315578" w:rsidP="00315578">
      <w:pPr>
        <w:pStyle w:val="ListParagraph"/>
        <w:numPr>
          <w:ilvl w:val="1"/>
          <w:numId w:val="1"/>
        </w:numPr>
      </w:pPr>
      <w:r>
        <w:t>Argus is not applicable to the other departments of NSCL.</w:t>
      </w:r>
    </w:p>
    <w:p w:rsidR="0030055B" w:rsidRDefault="0030055B" w:rsidP="002A08F4">
      <w:pPr>
        <w:pStyle w:val="Heading1"/>
      </w:pPr>
      <w:r>
        <w:t>References</w:t>
      </w:r>
    </w:p>
    <w:p w:rsidR="00110CAB" w:rsidRDefault="00BC56F0" w:rsidP="00BC56F0">
      <w:pPr>
        <w:pStyle w:val="ListParagraph"/>
        <w:numPr>
          <w:ilvl w:val="1"/>
          <w:numId w:val="1"/>
        </w:numPr>
      </w:pPr>
      <w:r w:rsidRPr="008156F8">
        <w:rPr>
          <w:i/>
        </w:rPr>
        <w:t>Electronics Department ISMS Manual</w:t>
      </w:r>
      <w:r w:rsidR="008156F8">
        <w:t>, NSCL Document Server, Electronics Folder</w:t>
      </w:r>
    </w:p>
    <w:p w:rsidR="00D47F00" w:rsidRDefault="00D47F00" w:rsidP="00BC56F0">
      <w:pPr>
        <w:pStyle w:val="ListParagraph"/>
        <w:numPr>
          <w:ilvl w:val="1"/>
          <w:numId w:val="1"/>
        </w:numPr>
      </w:pPr>
      <w:r>
        <w:rPr>
          <w:i/>
        </w:rPr>
        <w:t>EE-ISMS-P0102</w:t>
      </w:r>
      <w:r w:rsidRPr="006B6614">
        <w:rPr>
          <w:i/>
        </w:rPr>
        <w:t xml:space="preserve"> </w:t>
      </w:r>
      <w:r>
        <w:rPr>
          <w:i/>
        </w:rPr>
        <w:t>Argus ISMS Policy</w:t>
      </w:r>
      <w:bookmarkStart w:id="0" w:name="_GoBack"/>
      <w:bookmarkEnd w:id="0"/>
      <w:r>
        <w:rPr>
          <w:i/>
        </w:rPr>
        <w:t xml:space="preserve">, </w:t>
      </w:r>
      <w:r>
        <w:t>NSCL Document Server, Electronics Folder</w:t>
      </w:r>
    </w:p>
    <w:p w:rsidR="00543A97" w:rsidRPr="00110CAB" w:rsidRDefault="006B5205" w:rsidP="00BC56F0">
      <w:pPr>
        <w:pStyle w:val="ListParagraph"/>
        <w:numPr>
          <w:ilvl w:val="1"/>
          <w:numId w:val="1"/>
        </w:numPr>
      </w:pPr>
      <w:r w:rsidRPr="006B6614">
        <w:rPr>
          <w:i/>
        </w:rPr>
        <w:t>EE-ISMS-S001 Terms and Definitions</w:t>
      </w:r>
      <w:r w:rsidR="00543A97">
        <w:rPr>
          <w:i/>
        </w:rPr>
        <w:t xml:space="preserve">, </w:t>
      </w:r>
      <w:r w:rsidR="00543A97">
        <w:t>NSCL Document Server, Electronics Folder</w:t>
      </w: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608" w:rsidRDefault="003E6608" w:rsidP="00FF7BA7">
      <w:r>
        <w:separator/>
      </w:r>
    </w:p>
  </w:endnote>
  <w:endnote w:type="continuationSeparator" w:id="0">
    <w:p w:rsidR="003E6608" w:rsidRDefault="003E6608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F3795A" w:rsidRDefault="00F3795A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95A" w:rsidRDefault="00F3795A" w:rsidP="00474AB6">
    <w:pPr>
      <w:rPr>
        <w:sz w:val="20"/>
      </w:rPr>
    </w:pPr>
  </w:p>
  <w:p w:rsidR="00F3795A" w:rsidRDefault="003E6608" w:rsidP="00474AB6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F3795A" w:rsidRDefault="00F3795A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D47F00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D47F00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F3795A" w:rsidRDefault="00F379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95A" w:rsidRDefault="00F3795A">
    <w:pPr>
      <w:rPr>
        <w:sz w:val="20"/>
      </w:rPr>
    </w:pPr>
  </w:p>
  <w:p w:rsidR="00F3795A" w:rsidRDefault="003E6608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F3795A" w:rsidRDefault="00F3795A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D47F00">
          <w:rPr>
            <w:noProof/>
            <w:sz w:val="20"/>
          </w:rPr>
          <w:t>1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D47F00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F3795A" w:rsidRPr="00BB7DEC" w:rsidRDefault="00F3795A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608" w:rsidRDefault="003E6608" w:rsidP="00FF7BA7">
      <w:r>
        <w:separator/>
      </w:r>
    </w:p>
  </w:footnote>
  <w:footnote w:type="continuationSeparator" w:id="0">
    <w:p w:rsidR="003E6608" w:rsidRDefault="003E6608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95A" w:rsidRDefault="00F3795A">
    <w:pPr>
      <w:pStyle w:val="Header"/>
    </w:pPr>
  </w:p>
  <w:p w:rsidR="00F3795A" w:rsidRDefault="00F3795A">
    <w:pPr>
      <w:pStyle w:val="Header"/>
    </w:pPr>
  </w:p>
  <w:p w:rsidR="00F3795A" w:rsidRDefault="00F379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410"/>
      <w:gridCol w:w="960"/>
      <w:gridCol w:w="2370"/>
    </w:tblGrid>
    <w:tr w:rsidR="00F3795A" w:rsidTr="007159BE">
      <w:trPr>
        <w:cantSplit/>
        <w:trHeight w:val="530"/>
      </w:trPr>
      <w:tc>
        <w:tcPr>
          <w:tcW w:w="2808" w:type="dxa"/>
          <w:vMerge w:val="restart"/>
        </w:tcPr>
        <w:p w:rsidR="00F3795A" w:rsidRDefault="00F3795A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5FBB9B35" wp14:editId="3B3E2E53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5B83F979" wp14:editId="71067032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0" w:type="dxa"/>
          <w:gridSpan w:val="2"/>
          <w:tcBorders>
            <w:bottom w:val="nil"/>
          </w:tcBorders>
        </w:tcPr>
        <w:p w:rsidR="00F3795A" w:rsidRPr="00681C88" w:rsidRDefault="00F3795A" w:rsidP="00C955A7">
          <w:pPr>
            <w:rPr>
              <w:rFonts w:ascii="Arial" w:hAnsi="Arial" w:cs="Arial"/>
              <w:b/>
              <w:szCs w:val="22"/>
            </w:rPr>
          </w:pPr>
          <w:r w:rsidRPr="00681C88">
            <w:rPr>
              <w:rFonts w:ascii="Arial" w:hAnsi="Arial" w:cs="Arial"/>
              <w:b/>
              <w:sz w:val="22"/>
              <w:szCs w:val="22"/>
            </w:rPr>
            <w:t>P</w:t>
          </w:r>
          <w:r>
            <w:rPr>
              <w:rFonts w:ascii="Arial" w:hAnsi="Arial" w:cs="Arial"/>
              <w:b/>
              <w:sz w:val="22"/>
              <w:szCs w:val="22"/>
            </w:rPr>
            <w:t>olicy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  <w:r w:rsidR="00EC1575">
            <w:rPr>
              <w:rFonts w:ascii="Arial" w:hAnsi="Arial" w:cs="Arial"/>
              <w:b/>
              <w:sz w:val="22"/>
              <w:szCs w:val="22"/>
            </w:rPr>
            <w:t xml:space="preserve"> EE-ISMS-P</w:t>
          </w:r>
          <w:r w:rsidR="00B93FD5">
            <w:rPr>
              <w:rFonts w:ascii="Arial" w:hAnsi="Arial" w:cs="Arial"/>
              <w:b/>
              <w:sz w:val="22"/>
              <w:szCs w:val="22"/>
            </w:rPr>
            <w:t>0</w:t>
          </w:r>
          <w:r w:rsidR="00E867B6">
            <w:rPr>
              <w:rFonts w:ascii="Arial" w:hAnsi="Arial" w:cs="Arial"/>
              <w:b/>
              <w:sz w:val="22"/>
              <w:szCs w:val="22"/>
            </w:rPr>
            <w:t>1</w:t>
          </w:r>
          <w:r w:rsidR="00B93FD5">
            <w:rPr>
              <w:rFonts w:ascii="Arial" w:hAnsi="Arial" w:cs="Arial"/>
              <w:b/>
              <w:sz w:val="22"/>
              <w:szCs w:val="22"/>
            </w:rPr>
            <w:t>01</w:t>
          </w:r>
        </w:p>
        <w:p w:rsidR="00F3795A" w:rsidRPr="00681C88" w:rsidRDefault="00F3795A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330" w:type="dxa"/>
          <w:gridSpan w:val="2"/>
          <w:tcBorders>
            <w:bottom w:val="nil"/>
          </w:tcBorders>
        </w:tcPr>
        <w:p w:rsidR="00F3795A" w:rsidRPr="00681C88" w:rsidRDefault="00F3795A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F3795A" w:rsidRPr="00681C88" w:rsidRDefault="00F3795A" w:rsidP="00C955A7">
          <w:pPr>
            <w:rPr>
              <w:rFonts w:ascii="Arial" w:hAnsi="Arial" w:cs="Arial"/>
              <w:szCs w:val="22"/>
            </w:rPr>
          </w:pPr>
        </w:p>
      </w:tc>
    </w:tr>
    <w:tr w:rsidR="00F3795A" w:rsidTr="00C955A7">
      <w:trPr>
        <w:cantSplit/>
        <w:trHeight w:val="530"/>
      </w:trPr>
      <w:tc>
        <w:tcPr>
          <w:tcW w:w="2808" w:type="dxa"/>
          <w:vMerge/>
        </w:tcPr>
        <w:p w:rsidR="00F3795A" w:rsidRDefault="00F3795A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F3795A" w:rsidRPr="00681C88" w:rsidRDefault="00F3795A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F3795A" w:rsidRPr="0030055B" w:rsidRDefault="00F3795A" w:rsidP="00C955A7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>May 26. 2011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F3795A" w:rsidRDefault="00F3795A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F3795A" w:rsidRDefault="00F3795A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F3795A" w:rsidRDefault="00F3795A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F3795A" w:rsidRPr="0030055B" w:rsidRDefault="00F3795A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F3795A" w:rsidTr="00C955A7">
      <w:trPr>
        <w:cantSplit/>
        <w:trHeight w:val="591"/>
      </w:trPr>
      <w:tc>
        <w:tcPr>
          <w:tcW w:w="2808" w:type="dxa"/>
          <w:vMerge/>
        </w:tcPr>
        <w:p w:rsidR="00F3795A" w:rsidRDefault="00F3795A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F3795A" w:rsidRDefault="00F3795A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F3795A" w:rsidRPr="0030055B" w:rsidRDefault="00F3795A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F3795A" w:rsidTr="00C955A7">
      <w:trPr>
        <w:cantSplit/>
        <w:trHeight w:val="573"/>
      </w:trPr>
      <w:tc>
        <w:tcPr>
          <w:tcW w:w="9918" w:type="dxa"/>
          <w:gridSpan w:val="5"/>
        </w:tcPr>
        <w:p w:rsidR="00F3795A" w:rsidRDefault="00F3795A" w:rsidP="00C955A7">
          <w:pPr>
            <w:rPr>
              <w:rFonts w:ascii="Arial" w:hAnsi="Arial" w:cs="Arial"/>
              <w:sz w:val="16"/>
            </w:rPr>
          </w:pPr>
        </w:p>
        <w:p w:rsidR="00F3795A" w:rsidRDefault="00F3795A" w:rsidP="00B93FD5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Policy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 w:rsidR="008E0592">
            <w:rPr>
              <w:rFonts w:ascii="Arial" w:hAnsi="Arial" w:cs="Arial"/>
              <w:szCs w:val="24"/>
            </w:rPr>
            <w:t xml:space="preserve">Argus </w:t>
          </w:r>
          <w:r>
            <w:rPr>
              <w:rFonts w:ascii="Arial" w:hAnsi="Arial" w:cs="Arial"/>
              <w:szCs w:val="24"/>
            </w:rPr>
            <w:t xml:space="preserve">Information Security </w:t>
          </w:r>
          <w:r w:rsidR="00F05CF4">
            <w:rPr>
              <w:rFonts w:ascii="Arial" w:hAnsi="Arial" w:cs="Arial"/>
              <w:szCs w:val="24"/>
            </w:rPr>
            <w:t xml:space="preserve">Management System </w:t>
          </w:r>
          <w:r w:rsidR="00B93FD5">
            <w:rPr>
              <w:rFonts w:ascii="Arial" w:hAnsi="Arial" w:cs="Arial"/>
              <w:szCs w:val="24"/>
            </w:rPr>
            <w:t>Scope</w:t>
          </w:r>
        </w:p>
      </w:tc>
    </w:tr>
  </w:tbl>
  <w:p w:rsidR="00F3795A" w:rsidRDefault="00F379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12D362E2"/>
    <w:multiLevelType w:val="multilevel"/>
    <w:tmpl w:val="07B85E6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3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6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8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0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10"/>
  </w:num>
  <w:num w:numId="8">
    <w:abstractNumId w:val="1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0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25528"/>
    <w:rsid w:val="00033060"/>
    <w:rsid w:val="0003348F"/>
    <w:rsid w:val="00037482"/>
    <w:rsid w:val="00075D3C"/>
    <w:rsid w:val="00076D38"/>
    <w:rsid w:val="000C3B62"/>
    <w:rsid w:val="000E189E"/>
    <w:rsid w:val="00110CAB"/>
    <w:rsid w:val="00116D10"/>
    <w:rsid w:val="00126125"/>
    <w:rsid w:val="001418CF"/>
    <w:rsid w:val="00144856"/>
    <w:rsid w:val="00164A24"/>
    <w:rsid w:val="001955B8"/>
    <w:rsid w:val="001A5F83"/>
    <w:rsid w:val="001B77A9"/>
    <w:rsid w:val="001C5E2B"/>
    <w:rsid w:val="001F32A4"/>
    <w:rsid w:val="00233618"/>
    <w:rsid w:val="0024257D"/>
    <w:rsid w:val="00277818"/>
    <w:rsid w:val="00282B0D"/>
    <w:rsid w:val="002A08F4"/>
    <w:rsid w:val="002B74D7"/>
    <w:rsid w:val="002E7D55"/>
    <w:rsid w:val="002F11D6"/>
    <w:rsid w:val="0030055B"/>
    <w:rsid w:val="00315578"/>
    <w:rsid w:val="00371B2F"/>
    <w:rsid w:val="00375E14"/>
    <w:rsid w:val="003957DF"/>
    <w:rsid w:val="003C7115"/>
    <w:rsid w:val="003D475D"/>
    <w:rsid w:val="003E3524"/>
    <w:rsid w:val="003E6608"/>
    <w:rsid w:val="0043657C"/>
    <w:rsid w:val="00451C0A"/>
    <w:rsid w:val="00452845"/>
    <w:rsid w:val="004670E4"/>
    <w:rsid w:val="00474AB6"/>
    <w:rsid w:val="004962D7"/>
    <w:rsid w:val="00505662"/>
    <w:rsid w:val="00542117"/>
    <w:rsid w:val="00543A97"/>
    <w:rsid w:val="00556890"/>
    <w:rsid w:val="00586E33"/>
    <w:rsid w:val="005C34A6"/>
    <w:rsid w:val="00617D01"/>
    <w:rsid w:val="00670CD9"/>
    <w:rsid w:val="006B152E"/>
    <w:rsid w:val="006B492E"/>
    <w:rsid w:val="006B5205"/>
    <w:rsid w:val="006B6614"/>
    <w:rsid w:val="006E78F9"/>
    <w:rsid w:val="007159BE"/>
    <w:rsid w:val="007226F5"/>
    <w:rsid w:val="007327B3"/>
    <w:rsid w:val="0073591C"/>
    <w:rsid w:val="007370F1"/>
    <w:rsid w:val="0080055B"/>
    <w:rsid w:val="008156F8"/>
    <w:rsid w:val="00825D8E"/>
    <w:rsid w:val="00836ED5"/>
    <w:rsid w:val="0086288B"/>
    <w:rsid w:val="008C2137"/>
    <w:rsid w:val="008D5C4F"/>
    <w:rsid w:val="008E0592"/>
    <w:rsid w:val="008E0E5C"/>
    <w:rsid w:val="00910917"/>
    <w:rsid w:val="009201D6"/>
    <w:rsid w:val="00953872"/>
    <w:rsid w:val="00963EDD"/>
    <w:rsid w:val="009808A9"/>
    <w:rsid w:val="009B4B9F"/>
    <w:rsid w:val="009F36A6"/>
    <w:rsid w:val="00A235EB"/>
    <w:rsid w:val="00AD3DC8"/>
    <w:rsid w:val="00AF06ED"/>
    <w:rsid w:val="00B00DCB"/>
    <w:rsid w:val="00B463DE"/>
    <w:rsid w:val="00B514BA"/>
    <w:rsid w:val="00B61303"/>
    <w:rsid w:val="00B827FC"/>
    <w:rsid w:val="00B8430C"/>
    <w:rsid w:val="00B93FD5"/>
    <w:rsid w:val="00B95D3A"/>
    <w:rsid w:val="00BB7C4F"/>
    <w:rsid w:val="00BB7DEC"/>
    <w:rsid w:val="00BC56F0"/>
    <w:rsid w:val="00BD25FE"/>
    <w:rsid w:val="00BD4716"/>
    <w:rsid w:val="00BE550F"/>
    <w:rsid w:val="00C02A2D"/>
    <w:rsid w:val="00C34921"/>
    <w:rsid w:val="00C50AF8"/>
    <w:rsid w:val="00C648A3"/>
    <w:rsid w:val="00C72283"/>
    <w:rsid w:val="00C76BF7"/>
    <w:rsid w:val="00C955A7"/>
    <w:rsid w:val="00CA7DD1"/>
    <w:rsid w:val="00CC44B2"/>
    <w:rsid w:val="00CD28E5"/>
    <w:rsid w:val="00CD7F99"/>
    <w:rsid w:val="00CE1C50"/>
    <w:rsid w:val="00D0462F"/>
    <w:rsid w:val="00D14082"/>
    <w:rsid w:val="00D40075"/>
    <w:rsid w:val="00D43429"/>
    <w:rsid w:val="00D47F00"/>
    <w:rsid w:val="00D52395"/>
    <w:rsid w:val="00D546BC"/>
    <w:rsid w:val="00D62B85"/>
    <w:rsid w:val="00DC3A8E"/>
    <w:rsid w:val="00E10E5D"/>
    <w:rsid w:val="00E47697"/>
    <w:rsid w:val="00E53992"/>
    <w:rsid w:val="00E60C4C"/>
    <w:rsid w:val="00E7244E"/>
    <w:rsid w:val="00E75B87"/>
    <w:rsid w:val="00E77334"/>
    <w:rsid w:val="00E867B6"/>
    <w:rsid w:val="00E92262"/>
    <w:rsid w:val="00EC1575"/>
    <w:rsid w:val="00F05CF4"/>
    <w:rsid w:val="00F3795A"/>
    <w:rsid w:val="00F717B3"/>
    <w:rsid w:val="00F81062"/>
    <w:rsid w:val="00FC6150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9735B"/>
    <w:rsid w:val="000B07AC"/>
    <w:rsid w:val="00105F5A"/>
    <w:rsid w:val="001249E9"/>
    <w:rsid w:val="001D2D36"/>
    <w:rsid w:val="002026A5"/>
    <w:rsid w:val="00507A51"/>
    <w:rsid w:val="00532CB3"/>
    <w:rsid w:val="00601FD5"/>
    <w:rsid w:val="00620116"/>
    <w:rsid w:val="007334E3"/>
    <w:rsid w:val="007C3DAA"/>
    <w:rsid w:val="007D475B"/>
    <w:rsid w:val="00A93352"/>
    <w:rsid w:val="00AB58B5"/>
    <w:rsid w:val="00D2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Vuppala, Vasu</dc:creator>
  <cp:lastModifiedBy>vasu</cp:lastModifiedBy>
  <cp:revision>58</cp:revision>
  <dcterms:created xsi:type="dcterms:W3CDTF">2011-02-10T15:36:00Z</dcterms:created>
  <dcterms:modified xsi:type="dcterms:W3CDTF">2012-01-17T08:19:00Z</dcterms:modified>
</cp:coreProperties>
</file>