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E27261" w:rsidP="002A08F4">
      <w:pPr>
        <w:pStyle w:val="ListParagraph"/>
      </w:pPr>
      <w:r>
        <w:t>The information assets, their containers, and processing facilities should be sited in physically secure areas</w:t>
      </w:r>
      <w:r w:rsidR="00E4600D">
        <w:t>.</w:t>
      </w:r>
      <w:r>
        <w:t xml:space="preserve"> They must be protected from unauthorized access, damage, interference, with appropriate security barriers and entry controls. The purpose of this policy is to protect the information assets from misuse, unauthorized access, and technical and environmental hazards.</w:t>
      </w:r>
    </w:p>
    <w:p w:rsidR="0030055B" w:rsidRDefault="0030055B" w:rsidP="002A08F4">
      <w:pPr>
        <w:pStyle w:val="Heading1"/>
      </w:pPr>
      <w:r>
        <w:t>Scope</w:t>
      </w:r>
    </w:p>
    <w:p w:rsidR="002A08F4" w:rsidRPr="002A08F4" w:rsidRDefault="003632B2" w:rsidP="000E189E">
      <w:pPr>
        <w:pStyle w:val="ListParagraph"/>
      </w:pPr>
      <w:r>
        <w:t xml:space="preserve">This policy is applicable to all </w:t>
      </w:r>
      <w:r w:rsidRPr="003632B2">
        <w:rPr>
          <w:i/>
          <w:u w:val="single"/>
        </w:rPr>
        <w:t>information assets</w:t>
      </w:r>
      <w:r>
        <w:t xml:space="preserve"> of the Electronics Department.</w:t>
      </w:r>
    </w:p>
    <w:p w:rsidR="0030055B" w:rsidRDefault="0030055B" w:rsidP="002A08F4">
      <w:pPr>
        <w:pStyle w:val="Heading1"/>
      </w:pPr>
      <w:r>
        <w:t>Definitions</w:t>
      </w:r>
    </w:p>
    <w:p w:rsidR="00CA7DD1" w:rsidRPr="00CA7DD1" w:rsidRDefault="008A778F" w:rsidP="008A778F">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w:t>
      </w:r>
    </w:p>
    <w:p w:rsidR="0030055B" w:rsidRDefault="0030055B" w:rsidP="002A08F4">
      <w:pPr>
        <w:pStyle w:val="Heading1"/>
      </w:pPr>
      <w:r>
        <w:t>Policy</w:t>
      </w:r>
      <w:r w:rsidR="00C955A7">
        <w:t xml:space="preserve"> Statement</w:t>
      </w:r>
    </w:p>
    <w:p w:rsidR="00F8290D" w:rsidRDefault="00F8290D" w:rsidP="00110CAB">
      <w:pPr>
        <w:pStyle w:val="ListParagraph"/>
        <w:numPr>
          <w:ilvl w:val="1"/>
          <w:numId w:val="1"/>
        </w:numPr>
      </w:pPr>
      <w:r w:rsidRPr="003632B2">
        <w:rPr>
          <w:i/>
          <w:u w:val="single"/>
        </w:rPr>
        <w:t>Information assets</w:t>
      </w:r>
      <w:r>
        <w:t xml:space="preserve"> must be protected through security perimeters such as walls, card-controlled gates, or manned reception desk.</w:t>
      </w:r>
      <w:r w:rsidR="008E7D90">
        <w:t xml:space="preserve"> The strength of the security perimeter must be commensurate with the sensitivity of the information.</w:t>
      </w:r>
    </w:p>
    <w:p w:rsidR="00110CAB" w:rsidRDefault="00C03F30" w:rsidP="00110CAB">
      <w:pPr>
        <w:pStyle w:val="ListParagraph"/>
        <w:numPr>
          <w:ilvl w:val="1"/>
          <w:numId w:val="1"/>
        </w:numPr>
      </w:pPr>
      <w:r>
        <w:t xml:space="preserve">All </w:t>
      </w:r>
      <w:r w:rsidR="00E4600D">
        <w:t>users must be made aware of their responsibilities</w:t>
      </w:r>
      <w:r w:rsidR="000F56D1">
        <w:t xml:space="preserve"> and obligations</w:t>
      </w:r>
      <w:r w:rsidR="00E4600D">
        <w:t xml:space="preserve"> with respect to </w:t>
      </w:r>
      <w:r w:rsidR="000F56D1">
        <w:t>physical</w:t>
      </w:r>
      <w:r w:rsidR="00E4600D">
        <w:t xml:space="preserve"> security.</w:t>
      </w:r>
    </w:p>
    <w:p w:rsidR="00C72283" w:rsidRDefault="00D1510B" w:rsidP="00AE7453">
      <w:pPr>
        <w:pStyle w:val="ListParagraph"/>
        <w:numPr>
          <w:ilvl w:val="1"/>
          <w:numId w:val="1"/>
        </w:numPr>
      </w:pPr>
      <w:r w:rsidRPr="003632B2">
        <w:rPr>
          <w:i/>
          <w:u w:val="single"/>
        </w:rPr>
        <w:t>Information a</w:t>
      </w:r>
      <w:r w:rsidR="00376C44" w:rsidRPr="003632B2">
        <w:rPr>
          <w:i/>
          <w:u w:val="single"/>
        </w:rPr>
        <w:t>sset owners</w:t>
      </w:r>
      <w:r w:rsidR="00376C44">
        <w:t xml:space="preserve"> shall be accountable for the loss and damage of the </w:t>
      </w:r>
      <w:r w:rsidRPr="003632B2">
        <w:rPr>
          <w:i/>
          <w:u w:val="single"/>
        </w:rPr>
        <w:t xml:space="preserve">information </w:t>
      </w:r>
      <w:r w:rsidR="00376C44" w:rsidRPr="003632B2">
        <w:rPr>
          <w:i/>
          <w:u w:val="single"/>
        </w:rPr>
        <w:t>asset</w:t>
      </w:r>
      <w:r w:rsidR="00BB54CF">
        <w:t xml:space="preserve">. </w:t>
      </w:r>
    </w:p>
    <w:p w:rsidR="002944AC" w:rsidRDefault="00A3787A" w:rsidP="00AE7453">
      <w:pPr>
        <w:pStyle w:val="ListParagraph"/>
        <w:numPr>
          <w:ilvl w:val="1"/>
          <w:numId w:val="1"/>
        </w:numPr>
      </w:pPr>
      <w:r w:rsidRPr="00835BAB">
        <w:rPr>
          <w:i/>
          <w:highlight w:val="yellow"/>
        </w:rPr>
        <w:t>Information asset</w:t>
      </w:r>
      <w:r>
        <w:rPr>
          <w:highlight w:val="yellow"/>
        </w:rPr>
        <w:t xml:space="preserve">, </w:t>
      </w:r>
      <w:r w:rsidRPr="00835BAB">
        <w:rPr>
          <w:i/>
          <w:highlight w:val="yellow"/>
        </w:rPr>
        <w:t>information asset container</w:t>
      </w:r>
      <w:r>
        <w:rPr>
          <w:highlight w:val="yellow"/>
        </w:rPr>
        <w:t xml:space="preserve">, or </w:t>
      </w:r>
      <w:r>
        <w:rPr>
          <w:i/>
          <w:highlight w:val="yellow"/>
        </w:rPr>
        <w:t>information processing facil</w:t>
      </w:r>
      <w:r w:rsidRPr="00835BAB">
        <w:rPr>
          <w:i/>
          <w:highlight w:val="yellow"/>
        </w:rPr>
        <w:t>i</w:t>
      </w:r>
      <w:r>
        <w:rPr>
          <w:i/>
          <w:highlight w:val="yellow"/>
        </w:rPr>
        <w:t>t</w:t>
      </w:r>
      <w:r w:rsidRPr="00835BAB">
        <w:rPr>
          <w:i/>
          <w:highlight w:val="yellow"/>
        </w:rPr>
        <w:t>y</w:t>
      </w:r>
      <w:r w:rsidR="00376C44" w:rsidRPr="00376C44">
        <w:rPr>
          <w:highlight w:val="yellow"/>
        </w:rPr>
        <w:t xml:space="preserve"> </w:t>
      </w:r>
      <w:r w:rsidR="00D85703">
        <w:rPr>
          <w:highlight w:val="yellow"/>
        </w:rPr>
        <w:t>must</w:t>
      </w:r>
      <w:r w:rsidR="00376C44" w:rsidRPr="00376C44">
        <w:rPr>
          <w:highlight w:val="yellow"/>
        </w:rPr>
        <w:t xml:space="preserve"> not be taken out of premises without prior authorization</w:t>
      </w:r>
      <w:r w:rsidR="00376C44" w:rsidRPr="00376C44">
        <w:t>.</w:t>
      </w:r>
    </w:p>
    <w:p w:rsidR="00D85703" w:rsidRDefault="00A3787A" w:rsidP="00AE7453">
      <w:pPr>
        <w:pStyle w:val="ListParagraph"/>
        <w:numPr>
          <w:ilvl w:val="1"/>
          <w:numId w:val="1"/>
        </w:numPr>
      </w:pPr>
      <w:r w:rsidRPr="003632B2">
        <w:rPr>
          <w:i/>
          <w:u w:val="single"/>
        </w:rPr>
        <w:t>Information asset containers</w:t>
      </w:r>
      <w:r>
        <w:t xml:space="preserve"> </w:t>
      </w:r>
      <w:r w:rsidR="00D85703">
        <w:t>must be protected from disruptions caused by failures in supporting utilities such as power and air-conditioning.</w:t>
      </w:r>
    </w:p>
    <w:p w:rsidR="00D85703" w:rsidRDefault="00D85703" w:rsidP="00AE7453">
      <w:pPr>
        <w:pStyle w:val="ListParagraph"/>
        <w:numPr>
          <w:ilvl w:val="1"/>
          <w:numId w:val="1"/>
        </w:numPr>
      </w:pPr>
      <w:r>
        <w:t>Cables used for carrying data or for supporting information services, such as network and power cables, must be protected from interception and damage.</w:t>
      </w:r>
    </w:p>
    <w:p w:rsidR="00693D27" w:rsidRDefault="00376C44" w:rsidP="00AE7453">
      <w:pPr>
        <w:pStyle w:val="ListParagraph"/>
        <w:numPr>
          <w:ilvl w:val="1"/>
          <w:numId w:val="1"/>
        </w:numPr>
      </w:pPr>
      <w:r>
        <w:t>Only</w:t>
      </w:r>
      <w:r w:rsidRPr="00376C44">
        <w:t xml:space="preserve"> authorized personnel </w:t>
      </w:r>
      <w:r>
        <w:t xml:space="preserve">must have access </w:t>
      </w:r>
      <w:r w:rsidRPr="00376C44">
        <w:t xml:space="preserve">to </w:t>
      </w:r>
      <w:r w:rsidR="00D84DAE" w:rsidRPr="003632B2">
        <w:rPr>
          <w:i/>
          <w:u w:val="single"/>
        </w:rPr>
        <w:t>information asset containers</w:t>
      </w:r>
      <w:r w:rsidR="00052E53">
        <w:t>.</w:t>
      </w:r>
      <w:r w:rsidR="009A019F">
        <w:t xml:space="preserve"> Access rights to these </w:t>
      </w:r>
      <w:r w:rsidR="00D84DAE">
        <w:t xml:space="preserve">containers </w:t>
      </w:r>
      <w:r w:rsidR="009A019F">
        <w:t xml:space="preserve">must be periodically reviewed. </w:t>
      </w:r>
    </w:p>
    <w:p w:rsidR="006E0D2F" w:rsidRDefault="00D84DAE" w:rsidP="00AE7453">
      <w:pPr>
        <w:pStyle w:val="ListParagraph"/>
        <w:numPr>
          <w:ilvl w:val="1"/>
          <w:numId w:val="1"/>
        </w:numPr>
      </w:pPr>
      <w:r w:rsidRPr="003632B2">
        <w:rPr>
          <w:i/>
          <w:u w:val="single"/>
        </w:rPr>
        <w:t>Information asset containers</w:t>
      </w:r>
      <w:r>
        <w:t xml:space="preserve"> </w:t>
      </w:r>
      <w:r w:rsidR="00DC2D43">
        <w:t xml:space="preserve">must be protected from </w:t>
      </w:r>
      <w:r w:rsidR="001F7ED9">
        <w:t xml:space="preserve">natural or man-made disasters such as </w:t>
      </w:r>
      <w:r w:rsidR="00DC2D43">
        <w:t xml:space="preserve">fire, flood, </w:t>
      </w:r>
      <w:r w:rsidR="001F7ED9">
        <w:t xml:space="preserve">earthquake, </w:t>
      </w:r>
      <w:r w:rsidR="00DC2D43">
        <w:t>explosion</w:t>
      </w:r>
      <w:r w:rsidR="001F7ED9">
        <w:t>, and civil unrest</w:t>
      </w:r>
      <w:r w:rsidR="00A11374">
        <w:t>.</w:t>
      </w:r>
    </w:p>
    <w:p w:rsidR="00052E53" w:rsidRDefault="00DC2D43" w:rsidP="00AE7453">
      <w:pPr>
        <w:pStyle w:val="ListParagraph"/>
        <w:numPr>
          <w:ilvl w:val="1"/>
          <w:numId w:val="1"/>
        </w:numPr>
      </w:pPr>
      <w:r>
        <w:t>Confidential information (in the form of removable media or d</w:t>
      </w:r>
      <w:r w:rsidRPr="00DC2D43">
        <w:t xml:space="preserve">ocuments) </w:t>
      </w:r>
      <w:r w:rsidR="00056EF0">
        <w:t>must</w:t>
      </w:r>
      <w:r w:rsidRPr="00DC2D43">
        <w:t xml:space="preserve"> be </w:t>
      </w:r>
      <w:r w:rsidR="00056EF0">
        <w:t xml:space="preserve">returned to a safe location or </w:t>
      </w:r>
      <w:r w:rsidRPr="00DC2D43">
        <w:t xml:space="preserve">appropriately disposed </w:t>
      </w:r>
      <w:r>
        <w:t xml:space="preserve">of </w:t>
      </w:r>
      <w:r w:rsidRPr="00DC2D43">
        <w:t xml:space="preserve">by the </w:t>
      </w:r>
      <w:r w:rsidR="00D84DAE" w:rsidRPr="003632B2">
        <w:rPr>
          <w:i/>
          <w:u w:val="single"/>
        </w:rPr>
        <w:t xml:space="preserve">information </w:t>
      </w:r>
      <w:r w:rsidRPr="003632B2">
        <w:rPr>
          <w:i/>
          <w:u w:val="single"/>
        </w:rPr>
        <w:t>asset owners</w:t>
      </w:r>
      <w:r w:rsidR="0082714C">
        <w:t>.</w:t>
      </w:r>
    </w:p>
    <w:p w:rsidR="00D72917" w:rsidRDefault="00D72917" w:rsidP="00AE7453">
      <w:pPr>
        <w:pStyle w:val="ListParagraph"/>
        <w:numPr>
          <w:ilvl w:val="1"/>
          <w:numId w:val="1"/>
        </w:numPr>
      </w:pPr>
      <w:r>
        <w:t>All users</w:t>
      </w:r>
      <w:r w:rsidRPr="00D72917">
        <w:t xml:space="preserve"> </w:t>
      </w:r>
      <w:r>
        <w:t>must</w:t>
      </w:r>
      <w:r w:rsidRPr="00D72917">
        <w:t xml:space="preserve"> follow </w:t>
      </w:r>
      <w:r>
        <w:t>NSCL’s</w:t>
      </w:r>
      <w:r w:rsidRPr="00D72917">
        <w:t xml:space="preserve"> health and safety regulations and standards.</w:t>
      </w:r>
    </w:p>
    <w:p w:rsidR="009E0747" w:rsidRDefault="00DC2D43" w:rsidP="00AE7453">
      <w:pPr>
        <w:pStyle w:val="ListParagraph"/>
        <w:numPr>
          <w:ilvl w:val="1"/>
          <w:numId w:val="1"/>
        </w:numPr>
      </w:pPr>
      <w:r>
        <w:t>Users must guard a</w:t>
      </w:r>
      <w:r w:rsidRPr="00DC2D43">
        <w:t xml:space="preserve">ll </w:t>
      </w:r>
      <w:r>
        <w:t>sensitive</w:t>
      </w:r>
      <w:r w:rsidRPr="00DC2D43">
        <w:t xml:space="preserve"> information through clean desk </w:t>
      </w:r>
      <w:r>
        <w:t xml:space="preserve">and clear screen </w:t>
      </w:r>
      <w:r w:rsidRPr="00DC2D43">
        <w:t>procedures</w:t>
      </w:r>
      <w:r>
        <w:t>.</w:t>
      </w:r>
    </w:p>
    <w:p w:rsidR="00E1220B" w:rsidRDefault="00E1220B" w:rsidP="00AE7453">
      <w:pPr>
        <w:pStyle w:val="ListParagraph"/>
        <w:numPr>
          <w:ilvl w:val="1"/>
          <w:numId w:val="1"/>
        </w:numPr>
      </w:pPr>
      <w:r w:rsidRPr="006875E4">
        <w:rPr>
          <w:highlight w:val="yellow"/>
        </w:rPr>
        <w:t xml:space="preserve">All incoming and outgoing material </w:t>
      </w:r>
      <w:r w:rsidR="00665297">
        <w:rPr>
          <w:highlight w:val="yellow"/>
        </w:rPr>
        <w:t>must</w:t>
      </w:r>
      <w:r w:rsidRPr="006875E4">
        <w:rPr>
          <w:highlight w:val="yellow"/>
        </w:rPr>
        <w:t xml:space="preserve"> be inspected for potential hazards</w:t>
      </w:r>
      <w:r>
        <w:t>.</w:t>
      </w:r>
    </w:p>
    <w:p w:rsidR="00056EF0" w:rsidRDefault="00056EF0" w:rsidP="00AE7453">
      <w:pPr>
        <w:pStyle w:val="ListParagraph"/>
        <w:numPr>
          <w:ilvl w:val="1"/>
          <w:numId w:val="1"/>
        </w:numPr>
      </w:pPr>
      <w:r>
        <w:t xml:space="preserve">Prior to disposing any equipment, </w:t>
      </w:r>
      <w:r w:rsidR="00875C18">
        <w:t xml:space="preserve">all information assets stored on it </w:t>
      </w:r>
      <w:r>
        <w:t xml:space="preserve">must </w:t>
      </w:r>
      <w:r w:rsidR="003632B2">
        <w:t>be removed</w:t>
      </w:r>
      <w:r>
        <w:t xml:space="preserve">. This includes peripherals such as printers, plotters, and fax machines. </w:t>
      </w:r>
    </w:p>
    <w:p w:rsidR="00C955A7" w:rsidRDefault="00C955A7" w:rsidP="008D5C4F">
      <w:pPr>
        <w:pStyle w:val="Heading1"/>
      </w:pPr>
      <w:r w:rsidRPr="008D5C4F">
        <w:t>Exceptions</w:t>
      </w:r>
    </w:p>
    <w:p w:rsidR="0030055B" w:rsidRDefault="0030055B" w:rsidP="002A08F4">
      <w:pPr>
        <w:pStyle w:val="Heading1"/>
      </w:pPr>
      <w:r>
        <w:lastRenderedPageBreak/>
        <w:t>References</w:t>
      </w:r>
    </w:p>
    <w:p w:rsidR="00110CAB" w:rsidRDefault="00BC56F0" w:rsidP="00BC56F0">
      <w:pPr>
        <w:pStyle w:val="ListParagraph"/>
        <w:numPr>
          <w:ilvl w:val="1"/>
          <w:numId w:val="1"/>
        </w:numPr>
      </w:pPr>
      <w:r w:rsidRPr="008156F8">
        <w:rPr>
          <w:i/>
        </w:rPr>
        <w:t>Electronics Department ISMS Manual</w:t>
      </w:r>
      <w:r w:rsidR="008156F8">
        <w:t>, NSCL Document Server, Electronics Folder</w:t>
      </w:r>
    </w:p>
    <w:p w:rsidR="00A233FA" w:rsidRPr="00110CAB" w:rsidRDefault="00A233FA" w:rsidP="00A233FA">
      <w:pPr>
        <w:pStyle w:val="ListParagraph"/>
        <w:ind w:left="1080"/>
      </w:pPr>
      <w:bookmarkStart w:id="0" w:name="_GoBack"/>
      <w:bookmarkEnd w:id="0"/>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1B1" w:rsidRDefault="003851B1" w:rsidP="00FF7BA7">
      <w:r>
        <w:separator/>
      </w:r>
    </w:p>
  </w:endnote>
  <w:endnote w:type="continuationSeparator" w:id="0">
    <w:p w:rsidR="003851B1" w:rsidRDefault="003851B1"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D85703" w:rsidRDefault="00D85703">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03" w:rsidRDefault="00D85703" w:rsidP="00474AB6">
    <w:pPr>
      <w:rPr>
        <w:sz w:val="20"/>
      </w:rPr>
    </w:pPr>
  </w:p>
  <w:p w:rsidR="00D85703" w:rsidRDefault="003851B1" w:rsidP="00474AB6">
    <w:pPr>
      <w:rPr>
        <w:sz w:val="20"/>
      </w:rPr>
    </w:pPr>
    <w:r>
      <w:rPr>
        <w:noProof/>
        <w:sz w:val="20"/>
      </w:rPr>
      <w:pict w14:anchorId="7A86C9AC">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D85703" w:rsidRDefault="00D85703"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00F16DEF" w:rsidRPr="00BB7DEC">
          <w:rPr>
            <w:sz w:val="20"/>
          </w:rPr>
          <w:fldChar w:fldCharType="begin"/>
        </w:r>
        <w:r w:rsidRPr="00BB7DEC">
          <w:rPr>
            <w:sz w:val="20"/>
          </w:rPr>
          <w:instrText xml:space="preserve"> PAGE </w:instrText>
        </w:r>
        <w:r w:rsidR="00F16DEF" w:rsidRPr="00BB7DEC">
          <w:rPr>
            <w:sz w:val="20"/>
          </w:rPr>
          <w:fldChar w:fldCharType="separate"/>
        </w:r>
        <w:r w:rsidR="003632B2">
          <w:rPr>
            <w:noProof/>
            <w:sz w:val="20"/>
          </w:rPr>
          <w:t>2</w:t>
        </w:r>
        <w:r w:rsidR="00F16DEF" w:rsidRPr="00BB7DEC">
          <w:rPr>
            <w:sz w:val="20"/>
          </w:rPr>
          <w:fldChar w:fldCharType="end"/>
        </w:r>
        <w:r w:rsidRPr="00BB7DEC">
          <w:rPr>
            <w:sz w:val="20"/>
          </w:rPr>
          <w:t xml:space="preserve"> of </w:t>
        </w:r>
        <w:r w:rsidR="00F16DEF" w:rsidRPr="00BB7DEC">
          <w:rPr>
            <w:sz w:val="20"/>
          </w:rPr>
          <w:fldChar w:fldCharType="begin"/>
        </w:r>
        <w:r w:rsidRPr="00BB7DEC">
          <w:rPr>
            <w:sz w:val="20"/>
          </w:rPr>
          <w:instrText xml:space="preserve"> NUMPAGES  </w:instrText>
        </w:r>
        <w:r w:rsidR="00F16DEF" w:rsidRPr="00BB7DEC">
          <w:rPr>
            <w:sz w:val="20"/>
          </w:rPr>
          <w:fldChar w:fldCharType="separate"/>
        </w:r>
        <w:r w:rsidR="003632B2">
          <w:rPr>
            <w:noProof/>
            <w:sz w:val="20"/>
          </w:rPr>
          <w:t>2</w:t>
        </w:r>
        <w:r w:rsidR="00F16DEF" w:rsidRPr="00BB7DEC">
          <w:rPr>
            <w:sz w:val="20"/>
          </w:rPr>
          <w:fldChar w:fldCharType="end"/>
        </w:r>
      </w:sdtContent>
    </w:sdt>
  </w:p>
  <w:p w:rsidR="00D85703" w:rsidRDefault="00D857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03" w:rsidRDefault="00D85703">
    <w:pPr>
      <w:rPr>
        <w:sz w:val="20"/>
      </w:rPr>
    </w:pPr>
  </w:p>
  <w:p w:rsidR="00D85703" w:rsidRDefault="003851B1">
    <w:pPr>
      <w:rPr>
        <w:sz w:val="20"/>
      </w:rPr>
    </w:pPr>
    <w:r>
      <w:rPr>
        <w:noProof/>
        <w:sz w:val="20"/>
      </w:rPr>
      <w:pict w14:anchorId="7DC65B1F">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D85703" w:rsidRDefault="00D85703">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00F16DEF" w:rsidRPr="00BB7DEC">
          <w:rPr>
            <w:sz w:val="20"/>
          </w:rPr>
          <w:fldChar w:fldCharType="begin"/>
        </w:r>
        <w:r w:rsidRPr="00BB7DEC">
          <w:rPr>
            <w:sz w:val="20"/>
          </w:rPr>
          <w:instrText xml:space="preserve"> PAGE </w:instrText>
        </w:r>
        <w:r w:rsidR="00F16DEF" w:rsidRPr="00BB7DEC">
          <w:rPr>
            <w:sz w:val="20"/>
          </w:rPr>
          <w:fldChar w:fldCharType="separate"/>
        </w:r>
        <w:r w:rsidR="003632B2">
          <w:rPr>
            <w:noProof/>
            <w:sz w:val="20"/>
          </w:rPr>
          <w:t>1</w:t>
        </w:r>
        <w:r w:rsidR="00F16DEF" w:rsidRPr="00BB7DEC">
          <w:rPr>
            <w:sz w:val="20"/>
          </w:rPr>
          <w:fldChar w:fldCharType="end"/>
        </w:r>
        <w:r w:rsidRPr="00BB7DEC">
          <w:rPr>
            <w:sz w:val="20"/>
          </w:rPr>
          <w:t xml:space="preserve"> of </w:t>
        </w:r>
        <w:r w:rsidR="00F16DEF" w:rsidRPr="00BB7DEC">
          <w:rPr>
            <w:sz w:val="20"/>
          </w:rPr>
          <w:fldChar w:fldCharType="begin"/>
        </w:r>
        <w:r w:rsidRPr="00BB7DEC">
          <w:rPr>
            <w:sz w:val="20"/>
          </w:rPr>
          <w:instrText xml:space="preserve"> NUMPAGES  </w:instrText>
        </w:r>
        <w:r w:rsidR="00F16DEF" w:rsidRPr="00BB7DEC">
          <w:rPr>
            <w:sz w:val="20"/>
          </w:rPr>
          <w:fldChar w:fldCharType="separate"/>
        </w:r>
        <w:r w:rsidR="003632B2">
          <w:rPr>
            <w:noProof/>
            <w:sz w:val="20"/>
          </w:rPr>
          <w:t>2</w:t>
        </w:r>
        <w:r w:rsidR="00F16DEF" w:rsidRPr="00BB7DEC">
          <w:rPr>
            <w:sz w:val="20"/>
          </w:rPr>
          <w:fldChar w:fldCharType="end"/>
        </w:r>
      </w:sdtContent>
    </w:sdt>
  </w:p>
  <w:p w:rsidR="00D85703" w:rsidRPr="00BB7DEC" w:rsidRDefault="00D85703">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1B1" w:rsidRDefault="003851B1" w:rsidP="00FF7BA7">
      <w:r>
        <w:separator/>
      </w:r>
    </w:p>
  </w:footnote>
  <w:footnote w:type="continuationSeparator" w:id="0">
    <w:p w:rsidR="003851B1" w:rsidRDefault="003851B1"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03" w:rsidRDefault="00D85703">
    <w:pPr>
      <w:pStyle w:val="Header"/>
    </w:pPr>
  </w:p>
  <w:p w:rsidR="00D85703" w:rsidRDefault="00D85703">
    <w:pPr>
      <w:pStyle w:val="Header"/>
    </w:pPr>
  </w:p>
  <w:p w:rsidR="00D85703" w:rsidRDefault="00D857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230"/>
      <w:gridCol w:w="1140"/>
      <w:gridCol w:w="2370"/>
    </w:tblGrid>
    <w:tr w:rsidR="00D85703" w:rsidTr="00835BAB">
      <w:trPr>
        <w:cantSplit/>
        <w:trHeight w:val="530"/>
      </w:trPr>
      <w:tc>
        <w:tcPr>
          <w:tcW w:w="2808" w:type="dxa"/>
          <w:vMerge w:val="restart"/>
        </w:tcPr>
        <w:p w:rsidR="00D85703" w:rsidRDefault="00D85703" w:rsidP="00C955A7">
          <w:pPr>
            <w:pStyle w:val="Header"/>
          </w:pPr>
          <w:r>
            <w:rPr>
              <w:rFonts w:ascii="Arial" w:hAnsi="Arial" w:cs="Arial"/>
              <w:noProof/>
              <w:color w:val="0000FF"/>
            </w:rPr>
            <w:drawing>
              <wp:inline distT="0" distB="0" distL="0" distR="0" wp14:anchorId="7FA63C43" wp14:editId="2762E1C9">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177C90D9" wp14:editId="20CD8A7C">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600" w:type="dxa"/>
          <w:gridSpan w:val="2"/>
          <w:tcBorders>
            <w:bottom w:val="nil"/>
          </w:tcBorders>
        </w:tcPr>
        <w:p w:rsidR="00D85703" w:rsidRPr="00681C88" w:rsidRDefault="00D85703"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Pr>
              <w:rFonts w:ascii="Arial" w:hAnsi="Arial" w:cs="Arial"/>
              <w:b/>
              <w:sz w:val="22"/>
              <w:szCs w:val="22"/>
            </w:rPr>
            <w:t xml:space="preserve"> EE-ISMS-P</w:t>
          </w:r>
          <w:r w:rsidR="006C52B0">
            <w:rPr>
              <w:rFonts w:ascii="Arial" w:hAnsi="Arial" w:cs="Arial"/>
              <w:b/>
              <w:sz w:val="22"/>
              <w:szCs w:val="22"/>
            </w:rPr>
            <w:t>0</w:t>
          </w:r>
          <w:r>
            <w:rPr>
              <w:rFonts w:ascii="Arial" w:hAnsi="Arial" w:cs="Arial"/>
              <w:b/>
              <w:sz w:val="22"/>
              <w:szCs w:val="22"/>
            </w:rPr>
            <w:t>901</w:t>
          </w:r>
        </w:p>
        <w:p w:rsidR="00D85703" w:rsidRPr="00681C88" w:rsidRDefault="00D85703" w:rsidP="00C955A7">
          <w:pPr>
            <w:pStyle w:val="Header"/>
            <w:rPr>
              <w:rFonts w:ascii="Arial" w:hAnsi="Arial" w:cs="Arial"/>
              <w:szCs w:val="22"/>
            </w:rPr>
          </w:pPr>
        </w:p>
      </w:tc>
      <w:tc>
        <w:tcPr>
          <w:tcW w:w="3510" w:type="dxa"/>
          <w:gridSpan w:val="2"/>
          <w:tcBorders>
            <w:bottom w:val="nil"/>
          </w:tcBorders>
        </w:tcPr>
        <w:p w:rsidR="00D85703" w:rsidRPr="00681C88" w:rsidRDefault="00D85703" w:rsidP="00C955A7">
          <w:pPr>
            <w:rPr>
              <w:rFonts w:ascii="Arial" w:hAnsi="Arial" w:cs="Arial"/>
              <w:b/>
              <w:bCs/>
              <w:color w:val="000000"/>
              <w:szCs w:val="22"/>
            </w:rPr>
          </w:pPr>
          <w:r>
            <w:rPr>
              <w:rFonts w:ascii="Arial" w:hAnsi="Arial" w:cs="Arial"/>
              <w:b/>
              <w:bCs/>
              <w:color w:val="000000"/>
              <w:sz w:val="22"/>
              <w:szCs w:val="22"/>
            </w:rPr>
            <w:t>Current Revision Level:</w:t>
          </w:r>
        </w:p>
        <w:p w:rsidR="00D85703" w:rsidRPr="00681C88" w:rsidRDefault="00D85703" w:rsidP="00C955A7">
          <w:pPr>
            <w:rPr>
              <w:rFonts w:ascii="Arial" w:hAnsi="Arial" w:cs="Arial"/>
              <w:szCs w:val="22"/>
            </w:rPr>
          </w:pPr>
        </w:p>
      </w:tc>
    </w:tr>
    <w:tr w:rsidR="00D85703" w:rsidTr="00C955A7">
      <w:trPr>
        <w:cantSplit/>
        <w:trHeight w:val="530"/>
      </w:trPr>
      <w:tc>
        <w:tcPr>
          <w:tcW w:w="2808" w:type="dxa"/>
          <w:vMerge/>
        </w:tcPr>
        <w:p w:rsidR="00D85703" w:rsidRDefault="00D85703" w:rsidP="00C955A7">
          <w:pPr>
            <w:pStyle w:val="Header"/>
          </w:pPr>
        </w:p>
      </w:tc>
      <w:tc>
        <w:tcPr>
          <w:tcW w:w="2370" w:type="dxa"/>
          <w:tcBorders>
            <w:top w:val="single" w:sz="4" w:space="0" w:color="auto"/>
            <w:bottom w:val="single" w:sz="4" w:space="0" w:color="auto"/>
          </w:tcBorders>
        </w:tcPr>
        <w:p w:rsidR="00D85703" w:rsidRPr="00681C88" w:rsidRDefault="00D85703"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D85703" w:rsidRPr="0030055B" w:rsidRDefault="00D85703"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D85703" w:rsidRDefault="00D85703"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D85703" w:rsidRDefault="00D85703"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D85703" w:rsidRDefault="00D85703"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D85703" w:rsidRPr="0030055B" w:rsidRDefault="00D85703" w:rsidP="00C955A7">
          <w:pPr>
            <w:jc w:val="right"/>
            <w:rPr>
              <w:rFonts w:ascii="Arial" w:hAnsi="Arial" w:cs="Arial"/>
              <w:bCs/>
              <w:color w:val="000000"/>
              <w:szCs w:val="22"/>
            </w:rPr>
          </w:pPr>
          <w:r>
            <w:rPr>
              <w:rFonts w:ascii="Arial" w:hAnsi="Arial" w:cs="Arial"/>
              <w:bCs/>
              <w:color w:val="000000"/>
              <w:sz w:val="22"/>
              <w:szCs w:val="22"/>
            </w:rPr>
            <w:t>IS Working Group</w:t>
          </w:r>
        </w:p>
      </w:tc>
    </w:tr>
    <w:tr w:rsidR="00D85703" w:rsidTr="00C955A7">
      <w:trPr>
        <w:cantSplit/>
        <w:trHeight w:val="591"/>
      </w:trPr>
      <w:tc>
        <w:tcPr>
          <w:tcW w:w="2808" w:type="dxa"/>
          <w:vMerge/>
        </w:tcPr>
        <w:p w:rsidR="00D85703" w:rsidRDefault="00D85703" w:rsidP="00C955A7">
          <w:pPr>
            <w:pStyle w:val="Header"/>
          </w:pPr>
        </w:p>
      </w:tc>
      <w:tc>
        <w:tcPr>
          <w:tcW w:w="7110" w:type="dxa"/>
          <w:gridSpan w:val="4"/>
          <w:tcBorders>
            <w:top w:val="nil"/>
          </w:tcBorders>
        </w:tcPr>
        <w:p w:rsidR="00D85703" w:rsidRDefault="00D85703"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D85703" w:rsidRPr="0030055B" w:rsidRDefault="00D85703" w:rsidP="00C955A7">
          <w:pPr>
            <w:pStyle w:val="Header"/>
            <w:jc w:val="right"/>
            <w:rPr>
              <w:rFonts w:ascii="Arial" w:hAnsi="Arial" w:cs="Arial"/>
              <w:szCs w:val="22"/>
            </w:rPr>
          </w:pPr>
        </w:p>
      </w:tc>
    </w:tr>
    <w:tr w:rsidR="00D85703" w:rsidTr="00C955A7">
      <w:trPr>
        <w:cantSplit/>
        <w:trHeight w:val="573"/>
      </w:trPr>
      <w:tc>
        <w:tcPr>
          <w:tcW w:w="9918" w:type="dxa"/>
          <w:gridSpan w:val="5"/>
        </w:tcPr>
        <w:p w:rsidR="00D85703" w:rsidRDefault="00D85703" w:rsidP="00C955A7">
          <w:pPr>
            <w:rPr>
              <w:rFonts w:ascii="Arial" w:hAnsi="Arial" w:cs="Arial"/>
              <w:sz w:val="16"/>
            </w:rPr>
          </w:pPr>
        </w:p>
        <w:p w:rsidR="00D85703" w:rsidRDefault="00D85703" w:rsidP="00F14E50">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F14E50">
            <w:rPr>
              <w:rFonts w:ascii="Arial" w:hAnsi="Arial" w:cs="Arial"/>
              <w:szCs w:val="24"/>
            </w:rPr>
            <w:t>Physical Security</w:t>
          </w:r>
          <w:r>
            <w:rPr>
              <w:rFonts w:ascii="Arial" w:hAnsi="Arial" w:cs="Arial"/>
              <w:szCs w:val="24"/>
            </w:rPr>
            <w:t xml:space="preserve"> Policy</w:t>
          </w:r>
        </w:p>
      </w:tc>
    </w:tr>
  </w:tbl>
  <w:p w:rsidR="00D85703" w:rsidRDefault="00D857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6">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8">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8"/>
  </w:num>
  <w:num w:numId="3">
    <w:abstractNumId w:val="0"/>
  </w:num>
  <w:num w:numId="4">
    <w:abstractNumId w:val="6"/>
  </w:num>
  <w:num w:numId="5">
    <w:abstractNumId w:val="4"/>
  </w:num>
  <w:num w:numId="6">
    <w:abstractNumId w:val="7"/>
  </w:num>
  <w:num w:numId="7">
    <w:abstractNumId w:val="10"/>
  </w:num>
  <w:num w:numId="8">
    <w:abstractNumId w:val="1"/>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7482"/>
    <w:rsid w:val="00052E53"/>
    <w:rsid w:val="00056EF0"/>
    <w:rsid w:val="0008220D"/>
    <w:rsid w:val="000A4D2A"/>
    <w:rsid w:val="000C3B62"/>
    <w:rsid w:val="000E189E"/>
    <w:rsid w:val="000E7A77"/>
    <w:rsid w:val="000F56D1"/>
    <w:rsid w:val="00110CAB"/>
    <w:rsid w:val="001405F5"/>
    <w:rsid w:val="00143536"/>
    <w:rsid w:val="00144856"/>
    <w:rsid w:val="001A5F83"/>
    <w:rsid w:val="001B77A9"/>
    <w:rsid w:val="001C4892"/>
    <w:rsid w:val="001C5E2B"/>
    <w:rsid w:val="001F7ED9"/>
    <w:rsid w:val="00210A04"/>
    <w:rsid w:val="00277818"/>
    <w:rsid w:val="00282B0D"/>
    <w:rsid w:val="002944AC"/>
    <w:rsid w:val="002A08F4"/>
    <w:rsid w:val="0030055B"/>
    <w:rsid w:val="00351D67"/>
    <w:rsid w:val="003632B2"/>
    <w:rsid w:val="00371B2F"/>
    <w:rsid w:val="00375E14"/>
    <w:rsid w:val="00376C44"/>
    <w:rsid w:val="003851B1"/>
    <w:rsid w:val="003C7115"/>
    <w:rsid w:val="003D475D"/>
    <w:rsid w:val="003E3524"/>
    <w:rsid w:val="0043657C"/>
    <w:rsid w:val="004670E4"/>
    <w:rsid w:val="00474AB6"/>
    <w:rsid w:val="004D1AB0"/>
    <w:rsid w:val="004E2E6A"/>
    <w:rsid w:val="00542117"/>
    <w:rsid w:val="00543A97"/>
    <w:rsid w:val="00556890"/>
    <w:rsid w:val="00565F2E"/>
    <w:rsid w:val="00617D01"/>
    <w:rsid w:val="00633AD1"/>
    <w:rsid w:val="006600D6"/>
    <w:rsid w:val="00665297"/>
    <w:rsid w:val="00670CD9"/>
    <w:rsid w:val="006875E4"/>
    <w:rsid w:val="00690979"/>
    <w:rsid w:val="00693D27"/>
    <w:rsid w:val="006C52B0"/>
    <w:rsid w:val="006D31EC"/>
    <w:rsid w:val="006E0D2F"/>
    <w:rsid w:val="006E78F9"/>
    <w:rsid w:val="007327B3"/>
    <w:rsid w:val="0073591C"/>
    <w:rsid w:val="007370F1"/>
    <w:rsid w:val="0080055B"/>
    <w:rsid w:val="008156F8"/>
    <w:rsid w:val="00825D8E"/>
    <w:rsid w:val="0082714C"/>
    <w:rsid w:val="00835BAB"/>
    <w:rsid w:val="00875C18"/>
    <w:rsid w:val="008A778F"/>
    <w:rsid w:val="008C2137"/>
    <w:rsid w:val="008D5C4F"/>
    <w:rsid w:val="008E3072"/>
    <w:rsid w:val="008E7D90"/>
    <w:rsid w:val="00910917"/>
    <w:rsid w:val="00923232"/>
    <w:rsid w:val="00963EDD"/>
    <w:rsid w:val="009A019F"/>
    <w:rsid w:val="009B4B9F"/>
    <w:rsid w:val="009E0747"/>
    <w:rsid w:val="00A11374"/>
    <w:rsid w:val="00A233FA"/>
    <w:rsid w:val="00A3787A"/>
    <w:rsid w:val="00A95EF6"/>
    <w:rsid w:val="00AB5962"/>
    <w:rsid w:val="00AD3DC8"/>
    <w:rsid w:val="00AE7453"/>
    <w:rsid w:val="00AF06ED"/>
    <w:rsid w:val="00B514BA"/>
    <w:rsid w:val="00B57556"/>
    <w:rsid w:val="00B61303"/>
    <w:rsid w:val="00B827FC"/>
    <w:rsid w:val="00B8430C"/>
    <w:rsid w:val="00B84A7A"/>
    <w:rsid w:val="00BB54CF"/>
    <w:rsid w:val="00BB7DEC"/>
    <w:rsid w:val="00BC56F0"/>
    <w:rsid w:val="00BD25FE"/>
    <w:rsid w:val="00BD4716"/>
    <w:rsid w:val="00C02A2D"/>
    <w:rsid w:val="00C03F30"/>
    <w:rsid w:val="00C34921"/>
    <w:rsid w:val="00C648A3"/>
    <w:rsid w:val="00C710D0"/>
    <w:rsid w:val="00C72283"/>
    <w:rsid w:val="00C76BF7"/>
    <w:rsid w:val="00C955A7"/>
    <w:rsid w:val="00CA7DD1"/>
    <w:rsid w:val="00CC44B2"/>
    <w:rsid w:val="00CD7F99"/>
    <w:rsid w:val="00CE1C50"/>
    <w:rsid w:val="00D0462F"/>
    <w:rsid w:val="00D14082"/>
    <w:rsid w:val="00D1510B"/>
    <w:rsid w:val="00D33D4C"/>
    <w:rsid w:val="00D40075"/>
    <w:rsid w:val="00D43429"/>
    <w:rsid w:val="00D52395"/>
    <w:rsid w:val="00D546BC"/>
    <w:rsid w:val="00D72917"/>
    <w:rsid w:val="00D84DAE"/>
    <w:rsid w:val="00D85703"/>
    <w:rsid w:val="00DA2DE6"/>
    <w:rsid w:val="00DB29F0"/>
    <w:rsid w:val="00DC2D43"/>
    <w:rsid w:val="00E10E5D"/>
    <w:rsid w:val="00E1220B"/>
    <w:rsid w:val="00E27261"/>
    <w:rsid w:val="00E31933"/>
    <w:rsid w:val="00E4600D"/>
    <w:rsid w:val="00E47697"/>
    <w:rsid w:val="00E53992"/>
    <w:rsid w:val="00E751C9"/>
    <w:rsid w:val="00E75B87"/>
    <w:rsid w:val="00E77334"/>
    <w:rsid w:val="00E92262"/>
    <w:rsid w:val="00EC1575"/>
    <w:rsid w:val="00ED7C42"/>
    <w:rsid w:val="00F05D0B"/>
    <w:rsid w:val="00F14E50"/>
    <w:rsid w:val="00F16DEF"/>
    <w:rsid w:val="00F3795A"/>
    <w:rsid w:val="00F4182C"/>
    <w:rsid w:val="00F50B80"/>
    <w:rsid w:val="00F81062"/>
    <w:rsid w:val="00F8290D"/>
    <w:rsid w:val="00F97DE3"/>
    <w:rsid w:val="00FF7299"/>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Hyperlink">
    <w:name w:val="Hyperlink"/>
    <w:basedOn w:val="DefaultParagraphFont"/>
    <w:uiPriority w:val="99"/>
    <w:semiHidden/>
    <w:unhideWhenUsed/>
    <w:rsid w:val="00D33D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336F45"/>
    <w:rsid w:val="0036102D"/>
    <w:rsid w:val="00416B68"/>
    <w:rsid w:val="005724A3"/>
    <w:rsid w:val="00620116"/>
    <w:rsid w:val="006E4E25"/>
    <w:rsid w:val="007334E3"/>
    <w:rsid w:val="00A93352"/>
    <w:rsid w:val="00BC73C5"/>
    <w:rsid w:val="00D60963"/>
    <w:rsid w:val="00D72262"/>
    <w:rsid w:val="00E33D3A"/>
    <w:rsid w:val="00E66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66</cp:revision>
  <dcterms:created xsi:type="dcterms:W3CDTF">2011-02-10T15:36:00Z</dcterms:created>
  <dcterms:modified xsi:type="dcterms:W3CDTF">2012-01-17T09:22:00Z</dcterms:modified>
</cp:coreProperties>
</file>