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363EEE" w:rsidP="002A08F4">
      <w:pPr>
        <w:pStyle w:val="ListParagraph"/>
      </w:pPr>
      <w:r w:rsidRPr="00363EEE">
        <w:t>Overloaded information systems operate at reduced performance levels or become unavailable. Examples of such situations are</w:t>
      </w:r>
      <w:r w:rsidR="0047673B">
        <w:t xml:space="preserve"> full storage devices</w:t>
      </w:r>
      <w:r w:rsidRPr="00363EEE">
        <w:t xml:space="preserve">, </w:t>
      </w:r>
      <w:r w:rsidR="0047673B">
        <w:t xml:space="preserve">fully prescribed </w:t>
      </w:r>
      <w:r w:rsidRPr="00363EEE">
        <w:t xml:space="preserve">network </w:t>
      </w:r>
      <w:r w:rsidR="0074413C" w:rsidRPr="00363EEE">
        <w:t>sockets</w:t>
      </w:r>
      <w:r w:rsidR="0074413C">
        <w:t>,</w:t>
      </w:r>
      <w:r w:rsidRPr="00363EEE">
        <w:t xml:space="preserve"> or </w:t>
      </w:r>
      <w:r w:rsidR="0047673B">
        <w:t>insufficient core memory leading to extensive page faults and memory swaps</w:t>
      </w:r>
      <w:r w:rsidRPr="00363EEE">
        <w:t xml:space="preserve">. </w:t>
      </w:r>
      <w:r w:rsidR="00196AF9">
        <w:t>Advanced planning and preparation are required to ensure the availability of adequate capacity and resources to keep systems available</w:t>
      </w:r>
      <w:r w:rsidR="0047673B">
        <w:t xml:space="preserve"> </w:t>
      </w:r>
      <w:r w:rsidR="00196AF9">
        <w:t>and deliver</w:t>
      </w:r>
      <w:r w:rsidR="0047673B">
        <w:t>ing</w:t>
      </w:r>
      <w:r w:rsidR="00196AF9">
        <w:t xml:space="preserve"> </w:t>
      </w:r>
      <w:r w:rsidR="0047673B">
        <w:t>the desired</w:t>
      </w:r>
      <w:r w:rsidR="00196AF9">
        <w:t xml:space="preserve"> performance. </w:t>
      </w:r>
      <w:r w:rsidRPr="00363EEE">
        <w:t>This policy minimizes the probability of such risks</w:t>
      </w:r>
      <w:r w:rsidR="00196AF9">
        <w:t xml:space="preserve"> of system failures</w:t>
      </w:r>
      <w:r w:rsidR="00FF5FE4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363EEE" w:rsidP="000E189E">
      <w:pPr>
        <w:pStyle w:val="ListParagraph"/>
      </w:pPr>
      <w:r w:rsidRPr="00363EEE">
        <w:t xml:space="preserve">This policy applies to all operational systems </w:t>
      </w:r>
      <w:r w:rsidR="0047673B">
        <w:t xml:space="preserve">affecting the Electronics Department </w:t>
      </w:r>
      <w:r w:rsidRPr="00363EEE">
        <w:t xml:space="preserve">and the corresponding </w:t>
      </w:r>
      <w:r w:rsidRPr="0074413C">
        <w:rPr>
          <w:i/>
          <w:u w:val="single"/>
        </w:rPr>
        <w:t>asset owners</w:t>
      </w:r>
      <w:r w:rsidR="00644409">
        <w:t>.</w:t>
      </w:r>
    </w:p>
    <w:p w:rsidR="004E3F2F" w:rsidRPr="004E3F2F" w:rsidRDefault="0030055B" w:rsidP="004E3F2F">
      <w:pPr>
        <w:pStyle w:val="Heading1"/>
      </w:pPr>
      <w:r>
        <w:t>Definitions</w:t>
      </w:r>
    </w:p>
    <w:p w:rsidR="00CA7DD1" w:rsidRPr="00CA7DD1" w:rsidRDefault="002B3131" w:rsidP="002B3131">
      <w:pPr>
        <w:ind w:left="720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A01A7" w:rsidRDefault="00586109" w:rsidP="00363EEE">
      <w:pPr>
        <w:pStyle w:val="ListParagraph"/>
        <w:numPr>
          <w:ilvl w:val="1"/>
          <w:numId w:val="1"/>
        </w:numPr>
      </w:pPr>
      <w:r w:rsidRPr="0074413C">
        <w:rPr>
          <w:i/>
          <w:u w:val="single"/>
        </w:rPr>
        <w:t>Information a</w:t>
      </w:r>
      <w:r w:rsidR="00363EEE" w:rsidRPr="0074413C">
        <w:rPr>
          <w:i/>
          <w:u w:val="single"/>
        </w:rPr>
        <w:t>sset owners</w:t>
      </w:r>
      <w:r w:rsidR="00363EEE" w:rsidRPr="00363EEE">
        <w:t xml:space="preserve"> must monitor the utilization of key resources of their operational systems</w:t>
      </w:r>
      <w:r w:rsidR="000A01A7">
        <w:t xml:space="preserve">. </w:t>
      </w:r>
    </w:p>
    <w:p w:rsidR="00363EEE" w:rsidRDefault="00586109" w:rsidP="00363EEE">
      <w:pPr>
        <w:pStyle w:val="ListParagraph"/>
        <w:numPr>
          <w:ilvl w:val="1"/>
          <w:numId w:val="1"/>
        </w:numPr>
      </w:pPr>
      <w:r w:rsidRPr="0074413C">
        <w:rPr>
          <w:i/>
          <w:u w:val="single"/>
        </w:rPr>
        <w:t>Information a</w:t>
      </w:r>
      <w:r w:rsidR="00363EEE" w:rsidRPr="0074413C">
        <w:rPr>
          <w:i/>
          <w:u w:val="single"/>
        </w:rPr>
        <w:t>sset owners</w:t>
      </w:r>
      <w:r w:rsidR="00363EEE">
        <w:t xml:space="preserve"> </w:t>
      </w:r>
      <w:r w:rsidR="00363EEE" w:rsidRPr="00363EEE">
        <w:t>must identify future capacity requirements to ensure required system performance</w:t>
      </w:r>
      <w:r w:rsidR="000A01A7" w:rsidRPr="000A01A7">
        <w:t xml:space="preserve"> </w:t>
      </w:r>
    </w:p>
    <w:p w:rsidR="003D1577" w:rsidRDefault="006B236F" w:rsidP="000A01A7">
      <w:pPr>
        <w:pStyle w:val="ListParagraph"/>
        <w:numPr>
          <w:ilvl w:val="1"/>
          <w:numId w:val="1"/>
        </w:numPr>
      </w:pPr>
      <w:r>
        <w:t>New systems or upgrades must be migrated into operation only after all acceptance criteria have been met. The acceptance criteria must be defin</w:t>
      </w:r>
      <w:r w:rsidR="005130E2">
        <w:t>ed, documented, and agreed upon by asset owners and all the stakeh</w:t>
      </w:r>
      <w:bookmarkStart w:id="0" w:name="_GoBack"/>
      <w:bookmarkEnd w:id="0"/>
      <w:r w:rsidR="005130E2">
        <w:t>olders.</w:t>
      </w:r>
    </w:p>
    <w:p w:rsidR="00056EF0" w:rsidRDefault="00056EF0" w:rsidP="00975B50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7067F4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EB64DA" w:rsidP="00143536">
      <w:pPr>
        <w:pStyle w:val="ListParagraph"/>
        <w:numPr>
          <w:ilvl w:val="1"/>
          <w:numId w:val="1"/>
        </w:numPr>
      </w:pPr>
      <w:r>
        <w:rPr>
          <w:i/>
        </w:rPr>
        <w:t>P</w:t>
      </w:r>
      <w:r w:rsidR="00AE6948">
        <w:rPr>
          <w:i/>
        </w:rPr>
        <w:t>0</w:t>
      </w:r>
      <w:r>
        <w:rPr>
          <w:i/>
        </w:rPr>
        <w:t>501</w:t>
      </w:r>
      <w:r w:rsidR="00D33D4C">
        <w:rPr>
          <w:i/>
        </w:rPr>
        <w:t xml:space="preserve"> </w:t>
      </w:r>
      <w:r w:rsidR="00543A97">
        <w:rPr>
          <w:i/>
        </w:rPr>
        <w:t xml:space="preserve">Information Security </w:t>
      </w:r>
      <w:r w:rsidR="00D33D4C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D51" w:rsidRDefault="00C81D51" w:rsidP="00FF7BA7">
      <w:r>
        <w:separator/>
      </w:r>
    </w:p>
  </w:endnote>
  <w:endnote w:type="continuationSeparator" w:id="0">
    <w:p w:rsidR="00C81D51" w:rsidRDefault="00C81D51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975B50" w:rsidRDefault="00975B50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 w:rsidP="00474AB6">
    <w:pPr>
      <w:rPr>
        <w:sz w:val="20"/>
      </w:rPr>
    </w:pPr>
  </w:p>
  <w:p w:rsidR="00975B50" w:rsidRDefault="00C81D51" w:rsidP="00474AB6">
    <w:pPr>
      <w:rPr>
        <w:sz w:val="20"/>
      </w:rPr>
    </w:pPr>
    <w:r>
      <w:rPr>
        <w:noProof/>
        <w:sz w:val="20"/>
      </w:rPr>
      <w:pict w14:anchorId="636CE3C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975B50" w:rsidRDefault="00975B50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B815D7" w:rsidRPr="00BB7DEC">
          <w:rPr>
            <w:sz w:val="20"/>
          </w:rPr>
          <w:fldChar w:fldCharType="separate"/>
        </w:r>
        <w:r w:rsidR="0074413C">
          <w:rPr>
            <w:noProof/>
            <w:sz w:val="20"/>
          </w:rPr>
          <w:t>2</w:t>
        </w:r>
        <w:r w:rsidR="00B815D7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B815D7" w:rsidRPr="00BB7DEC">
          <w:rPr>
            <w:sz w:val="20"/>
          </w:rPr>
          <w:fldChar w:fldCharType="separate"/>
        </w:r>
        <w:r w:rsidR="0074413C">
          <w:rPr>
            <w:noProof/>
            <w:sz w:val="20"/>
          </w:rPr>
          <w:t>2</w:t>
        </w:r>
        <w:r w:rsidR="00B815D7" w:rsidRPr="00BB7DEC">
          <w:rPr>
            <w:sz w:val="20"/>
          </w:rPr>
          <w:fldChar w:fldCharType="end"/>
        </w:r>
      </w:sdtContent>
    </w:sdt>
  </w:p>
  <w:p w:rsidR="00975B50" w:rsidRDefault="00975B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rPr>
        <w:sz w:val="20"/>
      </w:rPr>
    </w:pPr>
  </w:p>
  <w:p w:rsidR="00975B50" w:rsidRDefault="00C81D51">
    <w:pPr>
      <w:rPr>
        <w:sz w:val="20"/>
      </w:rPr>
    </w:pPr>
    <w:r>
      <w:rPr>
        <w:noProof/>
        <w:sz w:val="20"/>
      </w:rPr>
      <w:pict w14:anchorId="1BF1C9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975B50" w:rsidRDefault="00975B50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B815D7" w:rsidRPr="00BB7DEC">
          <w:rPr>
            <w:sz w:val="20"/>
          </w:rPr>
          <w:fldChar w:fldCharType="separate"/>
        </w:r>
        <w:r w:rsidR="0074413C">
          <w:rPr>
            <w:noProof/>
            <w:sz w:val="20"/>
          </w:rPr>
          <w:t>1</w:t>
        </w:r>
        <w:r w:rsidR="00B815D7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B815D7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B815D7" w:rsidRPr="00BB7DEC">
          <w:rPr>
            <w:sz w:val="20"/>
          </w:rPr>
          <w:fldChar w:fldCharType="separate"/>
        </w:r>
        <w:r w:rsidR="0074413C">
          <w:rPr>
            <w:noProof/>
            <w:sz w:val="20"/>
          </w:rPr>
          <w:t>2</w:t>
        </w:r>
        <w:r w:rsidR="00B815D7" w:rsidRPr="00BB7DEC">
          <w:rPr>
            <w:sz w:val="20"/>
          </w:rPr>
          <w:fldChar w:fldCharType="end"/>
        </w:r>
      </w:sdtContent>
    </w:sdt>
  </w:p>
  <w:p w:rsidR="00975B50" w:rsidRPr="00BB7DEC" w:rsidRDefault="00975B50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D51" w:rsidRDefault="00C81D51" w:rsidP="00FF7BA7">
      <w:r>
        <w:separator/>
      </w:r>
    </w:p>
  </w:footnote>
  <w:footnote w:type="continuationSeparator" w:id="0">
    <w:p w:rsidR="00C81D51" w:rsidRDefault="00C81D51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pStyle w:val="Header"/>
    </w:pPr>
  </w:p>
  <w:p w:rsidR="00975B50" w:rsidRDefault="00975B50">
    <w:pPr>
      <w:pStyle w:val="Header"/>
    </w:pPr>
  </w:p>
  <w:p w:rsidR="00975B50" w:rsidRDefault="00975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975B50" w:rsidTr="00C955A7">
      <w:trPr>
        <w:cantSplit/>
        <w:trHeight w:val="530"/>
      </w:trPr>
      <w:tc>
        <w:tcPr>
          <w:tcW w:w="2808" w:type="dxa"/>
          <w:vMerge w:val="restart"/>
        </w:tcPr>
        <w:p w:rsidR="00975B50" w:rsidRDefault="00975B50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36B8729" wp14:editId="2F2D1460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F73709A" wp14:editId="3AB3B9F5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363EEE">
            <w:rPr>
              <w:rFonts w:ascii="Arial" w:hAnsi="Arial" w:cs="Arial"/>
              <w:b/>
              <w:sz w:val="20"/>
              <w:szCs w:val="22"/>
            </w:rPr>
            <w:t>EE-ISMS-P1003</w:t>
          </w:r>
        </w:p>
        <w:p w:rsidR="00975B50" w:rsidRPr="00681C88" w:rsidRDefault="00975B50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975B50" w:rsidRPr="00681C88" w:rsidRDefault="00975B50" w:rsidP="00C955A7">
          <w:pPr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30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Pr="00681C88" w:rsidRDefault="00975B50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975B50" w:rsidRDefault="00975B50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975B50" w:rsidTr="00C955A7">
      <w:trPr>
        <w:cantSplit/>
        <w:trHeight w:val="591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73"/>
      </w:trPr>
      <w:tc>
        <w:tcPr>
          <w:tcW w:w="9918" w:type="dxa"/>
          <w:gridSpan w:val="5"/>
        </w:tcPr>
        <w:p w:rsidR="00975B50" w:rsidRDefault="00975B50" w:rsidP="00C955A7">
          <w:pPr>
            <w:rPr>
              <w:rFonts w:ascii="Arial" w:hAnsi="Arial" w:cs="Arial"/>
              <w:sz w:val="16"/>
            </w:rPr>
          </w:pPr>
        </w:p>
        <w:p w:rsidR="00975B50" w:rsidRDefault="00975B50" w:rsidP="00363EEE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363EEE">
            <w:rPr>
              <w:rFonts w:ascii="Arial" w:hAnsi="Arial" w:cs="Arial"/>
              <w:szCs w:val="24"/>
            </w:rPr>
            <w:t>System Planning</w:t>
          </w:r>
          <w:r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975B50" w:rsidRDefault="00975B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52E53"/>
    <w:rsid w:val="00056EF0"/>
    <w:rsid w:val="000A01A7"/>
    <w:rsid w:val="000A4D2A"/>
    <w:rsid w:val="000C3B62"/>
    <w:rsid w:val="000E189E"/>
    <w:rsid w:val="000E7A77"/>
    <w:rsid w:val="000F56D1"/>
    <w:rsid w:val="00110CAB"/>
    <w:rsid w:val="001405F5"/>
    <w:rsid w:val="00143536"/>
    <w:rsid w:val="00144856"/>
    <w:rsid w:val="001504B3"/>
    <w:rsid w:val="00196AF9"/>
    <w:rsid w:val="00197477"/>
    <w:rsid w:val="001A5F83"/>
    <w:rsid w:val="001B77A9"/>
    <w:rsid w:val="001C4892"/>
    <w:rsid w:val="001C5E2B"/>
    <w:rsid w:val="001F7ED9"/>
    <w:rsid w:val="00277818"/>
    <w:rsid w:val="00282B0D"/>
    <w:rsid w:val="002944AC"/>
    <w:rsid w:val="002A08F4"/>
    <w:rsid w:val="002B3131"/>
    <w:rsid w:val="0030055B"/>
    <w:rsid w:val="00363EEE"/>
    <w:rsid w:val="00371B2F"/>
    <w:rsid w:val="00375E14"/>
    <w:rsid w:val="00376C44"/>
    <w:rsid w:val="003C7115"/>
    <w:rsid w:val="003D1577"/>
    <w:rsid w:val="003D475D"/>
    <w:rsid w:val="003D589D"/>
    <w:rsid w:val="003E3524"/>
    <w:rsid w:val="0043657C"/>
    <w:rsid w:val="004670E4"/>
    <w:rsid w:val="00474AB6"/>
    <w:rsid w:val="0047673B"/>
    <w:rsid w:val="004E2E6A"/>
    <w:rsid w:val="004E3F2F"/>
    <w:rsid w:val="005130E2"/>
    <w:rsid w:val="00542117"/>
    <w:rsid w:val="00543A97"/>
    <w:rsid w:val="00556890"/>
    <w:rsid w:val="00565F2E"/>
    <w:rsid w:val="00586109"/>
    <w:rsid w:val="005C3A35"/>
    <w:rsid w:val="00617D01"/>
    <w:rsid w:val="00633AD1"/>
    <w:rsid w:val="00644409"/>
    <w:rsid w:val="006463ED"/>
    <w:rsid w:val="00670CD9"/>
    <w:rsid w:val="006875E4"/>
    <w:rsid w:val="00690979"/>
    <w:rsid w:val="00693D27"/>
    <w:rsid w:val="006941FF"/>
    <w:rsid w:val="006B236F"/>
    <w:rsid w:val="006D31EC"/>
    <w:rsid w:val="006E0D2F"/>
    <w:rsid w:val="006E78F9"/>
    <w:rsid w:val="007067F4"/>
    <w:rsid w:val="007327B3"/>
    <w:rsid w:val="0073591C"/>
    <w:rsid w:val="007370F1"/>
    <w:rsid w:val="0074413C"/>
    <w:rsid w:val="0080055B"/>
    <w:rsid w:val="008156F8"/>
    <w:rsid w:val="00825D8E"/>
    <w:rsid w:val="0082714C"/>
    <w:rsid w:val="008650C6"/>
    <w:rsid w:val="008804A3"/>
    <w:rsid w:val="008C2137"/>
    <w:rsid w:val="008D5C4F"/>
    <w:rsid w:val="008E52D4"/>
    <w:rsid w:val="008E7D90"/>
    <w:rsid w:val="00910917"/>
    <w:rsid w:val="00923232"/>
    <w:rsid w:val="009602A4"/>
    <w:rsid w:val="00963EDD"/>
    <w:rsid w:val="00975B50"/>
    <w:rsid w:val="009A019F"/>
    <w:rsid w:val="009B4B9F"/>
    <w:rsid w:val="009E0747"/>
    <w:rsid w:val="00A11374"/>
    <w:rsid w:val="00A233FA"/>
    <w:rsid w:val="00A424A3"/>
    <w:rsid w:val="00A95EF6"/>
    <w:rsid w:val="00AB5962"/>
    <w:rsid w:val="00AD3DC8"/>
    <w:rsid w:val="00AE6948"/>
    <w:rsid w:val="00AE7453"/>
    <w:rsid w:val="00AF06ED"/>
    <w:rsid w:val="00AF55C1"/>
    <w:rsid w:val="00B514BA"/>
    <w:rsid w:val="00B61303"/>
    <w:rsid w:val="00B815D7"/>
    <w:rsid w:val="00B827FC"/>
    <w:rsid w:val="00B8430C"/>
    <w:rsid w:val="00B84A7A"/>
    <w:rsid w:val="00B97B96"/>
    <w:rsid w:val="00BB54CF"/>
    <w:rsid w:val="00BB6D9D"/>
    <w:rsid w:val="00BB7DEC"/>
    <w:rsid w:val="00BC56F0"/>
    <w:rsid w:val="00BD25FE"/>
    <w:rsid w:val="00BD4716"/>
    <w:rsid w:val="00BF20D3"/>
    <w:rsid w:val="00C02A2D"/>
    <w:rsid w:val="00C03F30"/>
    <w:rsid w:val="00C34921"/>
    <w:rsid w:val="00C648A3"/>
    <w:rsid w:val="00C710D0"/>
    <w:rsid w:val="00C72283"/>
    <w:rsid w:val="00C76BF7"/>
    <w:rsid w:val="00C81D51"/>
    <w:rsid w:val="00C955A7"/>
    <w:rsid w:val="00CA5E7A"/>
    <w:rsid w:val="00CA7DD1"/>
    <w:rsid w:val="00CC44B2"/>
    <w:rsid w:val="00CD7F99"/>
    <w:rsid w:val="00CE1C50"/>
    <w:rsid w:val="00D0462F"/>
    <w:rsid w:val="00D14082"/>
    <w:rsid w:val="00D33D12"/>
    <w:rsid w:val="00D33D4C"/>
    <w:rsid w:val="00D40075"/>
    <w:rsid w:val="00D43429"/>
    <w:rsid w:val="00D52395"/>
    <w:rsid w:val="00D546BC"/>
    <w:rsid w:val="00D72917"/>
    <w:rsid w:val="00D84074"/>
    <w:rsid w:val="00D85703"/>
    <w:rsid w:val="00DA2DE6"/>
    <w:rsid w:val="00DB29F0"/>
    <w:rsid w:val="00DC2D43"/>
    <w:rsid w:val="00DE52FC"/>
    <w:rsid w:val="00E10E5D"/>
    <w:rsid w:val="00E1220B"/>
    <w:rsid w:val="00E27261"/>
    <w:rsid w:val="00E4600D"/>
    <w:rsid w:val="00E47697"/>
    <w:rsid w:val="00E53992"/>
    <w:rsid w:val="00E751C9"/>
    <w:rsid w:val="00E75B87"/>
    <w:rsid w:val="00E77334"/>
    <w:rsid w:val="00E92262"/>
    <w:rsid w:val="00EB64DA"/>
    <w:rsid w:val="00EC1575"/>
    <w:rsid w:val="00ED7C42"/>
    <w:rsid w:val="00EE65D2"/>
    <w:rsid w:val="00F05D0B"/>
    <w:rsid w:val="00F20BD2"/>
    <w:rsid w:val="00F3795A"/>
    <w:rsid w:val="00F4182C"/>
    <w:rsid w:val="00F50B80"/>
    <w:rsid w:val="00F63910"/>
    <w:rsid w:val="00F81062"/>
    <w:rsid w:val="00F8194F"/>
    <w:rsid w:val="00F8290D"/>
    <w:rsid w:val="00F97392"/>
    <w:rsid w:val="00F97DE3"/>
    <w:rsid w:val="00FF5FE4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76DB8"/>
    <w:rsid w:val="00416B68"/>
    <w:rsid w:val="00620116"/>
    <w:rsid w:val="00667BB6"/>
    <w:rsid w:val="006E4E25"/>
    <w:rsid w:val="007334E3"/>
    <w:rsid w:val="008F737D"/>
    <w:rsid w:val="00A43240"/>
    <w:rsid w:val="00A93352"/>
    <w:rsid w:val="00AB3A21"/>
    <w:rsid w:val="00AB7502"/>
    <w:rsid w:val="00BC73C5"/>
    <w:rsid w:val="00E66049"/>
    <w:rsid w:val="00E84A6B"/>
    <w:rsid w:val="00F6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71</cp:revision>
  <dcterms:created xsi:type="dcterms:W3CDTF">2011-02-10T15:36:00Z</dcterms:created>
  <dcterms:modified xsi:type="dcterms:W3CDTF">2012-01-17T09:53:00Z</dcterms:modified>
</cp:coreProperties>
</file>