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A7" w:rsidRDefault="0030055B" w:rsidP="002A08F4">
      <w:pPr>
        <w:pStyle w:val="Heading1"/>
      </w:pPr>
      <w:r w:rsidRPr="002A08F4">
        <w:t>Purpose</w:t>
      </w:r>
    </w:p>
    <w:p w:rsidR="002A08F4" w:rsidRPr="002A08F4" w:rsidRDefault="000E4A4A" w:rsidP="002A08F4">
      <w:pPr>
        <w:pStyle w:val="ListParagraph"/>
      </w:pPr>
      <w:r>
        <w:t>Argus is</w:t>
      </w:r>
      <w:r>
        <w:t xml:space="preserve"> the</w:t>
      </w:r>
      <w:r w:rsidRPr="00F05CF4">
        <w:t xml:space="preserve"> Information Securi</w:t>
      </w:r>
      <w:r>
        <w:t>ty Management System (ISMS) used for managing information s</w:t>
      </w:r>
      <w:r w:rsidRPr="00F05CF4">
        <w:t>ecurity risks</w:t>
      </w:r>
      <w:r>
        <w:t xml:space="preserve"> at the Electronics Department of NSCL</w:t>
      </w:r>
      <w:r>
        <w:t>.</w:t>
      </w:r>
      <w:r w:rsidRPr="007846DC">
        <w:t xml:space="preserve"> </w:t>
      </w:r>
      <w:r w:rsidR="007846DC" w:rsidRPr="007846DC">
        <w:t xml:space="preserve">The </w:t>
      </w:r>
      <w:r w:rsidR="00364812">
        <w:t xml:space="preserve">purpose of this procedure is </w:t>
      </w:r>
      <w:r w:rsidR="00364812" w:rsidRPr="00F05CF4">
        <w:t xml:space="preserve">to </w:t>
      </w:r>
      <w:r w:rsidR="003A1B36">
        <w:t xml:space="preserve">ensure that Argus is </w:t>
      </w:r>
      <w:r w:rsidR="00364812" w:rsidRPr="00F05CF4">
        <w:t>establish</w:t>
      </w:r>
      <w:r w:rsidR="003A1B36">
        <w:t>ed</w:t>
      </w:r>
      <w:r w:rsidR="00364812" w:rsidRPr="00F05CF4">
        <w:t>, implement</w:t>
      </w:r>
      <w:r w:rsidR="003A1B36">
        <w:t>ed</w:t>
      </w:r>
      <w:r w:rsidR="00364812" w:rsidRPr="00F05CF4">
        <w:t>, operate</w:t>
      </w:r>
      <w:r w:rsidR="003A1B36">
        <w:t>d</w:t>
      </w:r>
      <w:r w:rsidR="00364812" w:rsidRPr="00F05CF4">
        <w:t>, monitor</w:t>
      </w:r>
      <w:r w:rsidR="003A1B36">
        <w:t>ed</w:t>
      </w:r>
      <w:r w:rsidR="00364812" w:rsidRPr="00F05CF4">
        <w:t>, review</w:t>
      </w:r>
      <w:r w:rsidR="003A1B36">
        <w:t>ed</w:t>
      </w:r>
      <w:r w:rsidR="00364812" w:rsidRPr="00F05CF4">
        <w:t>, maintain</w:t>
      </w:r>
      <w:r w:rsidR="003A1B36">
        <w:t>ed</w:t>
      </w:r>
      <w:r w:rsidR="00364812" w:rsidRPr="00F05CF4">
        <w:t xml:space="preserve"> and improve</w:t>
      </w:r>
      <w:r w:rsidR="003A1B36">
        <w:t>d according to the International Standard and to the information security requirements established by the Electronics Department.</w:t>
      </w:r>
    </w:p>
    <w:p w:rsidR="0030055B" w:rsidRDefault="0030055B" w:rsidP="002A08F4">
      <w:pPr>
        <w:pStyle w:val="Heading1"/>
      </w:pPr>
      <w:r>
        <w:t>Scope</w:t>
      </w:r>
    </w:p>
    <w:p w:rsidR="002A08F4" w:rsidRPr="002A08F4" w:rsidRDefault="007846DC" w:rsidP="000E189E">
      <w:pPr>
        <w:pStyle w:val="ListParagraph"/>
      </w:pPr>
      <w:r>
        <w:t xml:space="preserve">It is applicable to </w:t>
      </w:r>
      <w:r w:rsidR="005A57EA">
        <w:t>the ISMS in</w:t>
      </w:r>
      <w:r>
        <w:t xml:space="preserve"> the Electronics Department</w:t>
      </w:r>
      <w:r w:rsidR="000E189E">
        <w:t>.</w:t>
      </w:r>
    </w:p>
    <w:p w:rsidR="0030055B" w:rsidRDefault="0030055B" w:rsidP="002A08F4">
      <w:pPr>
        <w:pStyle w:val="Heading1"/>
      </w:pPr>
      <w:r>
        <w:t>Definitions</w:t>
      </w:r>
    </w:p>
    <w:p w:rsidR="007846DC" w:rsidRPr="007846DC" w:rsidRDefault="00B4603C" w:rsidP="007846DC">
      <w:pPr>
        <w:pStyle w:val="ListParagraph"/>
      </w:pPr>
      <w:r>
        <w:t xml:space="preserve">In this document, information security related terms have been marked in </w:t>
      </w:r>
      <w:r w:rsidRPr="006B6614">
        <w:rPr>
          <w:i/>
          <w:u w:val="single"/>
        </w:rPr>
        <w:t>underlined</w:t>
      </w:r>
      <w:r>
        <w:t xml:space="preserve"> </w:t>
      </w:r>
      <w:r w:rsidRPr="006B6614">
        <w:rPr>
          <w:i/>
          <w:u w:val="single"/>
        </w:rPr>
        <w:t>italics</w:t>
      </w:r>
      <w:r>
        <w:t xml:space="preserve">. For their definitions, refer to the standard </w:t>
      </w:r>
      <w:r w:rsidRPr="006B6614">
        <w:rPr>
          <w:i/>
        </w:rPr>
        <w:t>EE-ISMS-S001 Terms and Definitions</w:t>
      </w:r>
      <w:r w:rsidR="009F25B4">
        <w:t>.</w:t>
      </w:r>
    </w:p>
    <w:p w:rsidR="007846DC" w:rsidRDefault="007846DC" w:rsidP="002A08F4">
      <w:pPr>
        <w:pStyle w:val="Heading1"/>
      </w:pPr>
      <w:r>
        <w:t>Entry Criteria</w:t>
      </w:r>
    </w:p>
    <w:p w:rsidR="005A3E81" w:rsidRPr="007846DC" w:rsidRDefault="005A3E81" w:rsidP="005A3E81">
      <w:pPr>
        <w:pStyle w:val="ListParagraph"/>
        <w:numPr>
          <w:ilvl w:val="0"/>
          <w:numId w:val="26"/>
        </w:numPr>
      </w:pPr>
      <w:r>
        <w:t xml:space="preserve"> </w:t>
      </w:r>
      <w:r w:rsidR="005364A3">
        <w:t>An internal audit has been initiated</w:t>
      </w:r>
    </w:p>
    <w:p w:rsidR="007846DC" w:rsidRDefault="007846DC" w:rsidP="002A08F4">
      <w:pPr>
        <w:pStyle w:val="Heading1"/>
      </w:pPr>
      <w:r>
        <w:t>Inputs</w:t>
      </w:r>
    </w:p>
    <w:p w:rsidR="005A3E81" w:rsidRPr="007846DC" w:rsidRDefault="005A3E81" w:rsidP="00AB4EBC">
      <w:pPr>
        <w:pStyle w:val="ListParagraph"/>
        <w:numPr>
          <w:ilvl w:val="0"/>
          <w:numId w:val="24"/>
        </w:numPr>
      </w:pPr>
      <w:r>
        <w:t xml:space="preserve"> </w:t>
      </w:r>
      <w:r w:rsidR="005364A3">
        <w:t>The ISMS</w:t>
      </w:r>
    </w:p>
    <w:p w:rsidR="0030055B" w:rsidRDefault="00412C8D" w:rsidP="002A08F4">
      <w:pPr>
        <w:pStyle w:val="Heading1"/>
      </w:pPr>
      <w:r>
        <w:t>Procedure</w:t>
      </w:r>
    </w:p>
    <w:p w:rsidR="009047A6" w:rsidRPr="009047A6" w:rsidRDefault="0092340C" w:rsidP="009047A6">
      <w:pPr>
        <w:pStyle w:val="ListParagraph"/>
      </w:pPr>
      <w:r>
        <w:t>The following procedure must be executed at least once annually. It</w:t>
      </w:r>
      <w:r w:rsidR="009047A6">
        <w:t xml:space="preserve"> is based on </w:t>
      </w:r>
      <w:r>
        <w:t>the ISO/IEC 27001 standard</w:t>
      </w:r>
      <w:r w:rsidR="00827105">
        <w:t xml:space="preserve">. </w:t>
      </w:r>
      <w:r>
        <w:t>The Electronics Department Head is responsible for exe</w:t>
      </w:r>
      <w:r w:rsidR="006A52D3">
        <w:t>cuting the procedure</w:t>
      </w:r>
      <w:r w:rsidR="009047A6">
        <w:t xml:space="preserve">. </w:t>
      </w:r>
    </w:p>
    <w:p w:rsidR="00AB1829" w:rsidRDefault="004D5E42" w:rsidP="00AB1829">
      <w:pPr>
        <w:ind w:left="720"/>
      </w:pPr>
      <w:r>
        <w:br/>
      </w:r>
    </w:p>
    <w:tbl>
      <w:tblPr>
        <w:tblStyle w:val="TableGrid"/>
        <w:tblW w:w="4750" w:type="pct"/>
        <w:jc w:val="center"/>
        <w:tblLook w:val="04A0" w:firstRow="1" w:lastRow="0" w:firstColumn="1" w:lastColumn="0" w:noHBand="0" w:noVBand="1"/>
      </w:tblPr>
      <w:tblGrid>
        <w:gridCol w:w="709"/>
        <w:gridCol w:w="1574"/>
        <w:gridCol w:w="6814"/>
      </w:tblGrid>
      <w:tr w:rsidR="009F25B4" w:rsidTr="000E4A4A">
        <w:trPr>
          <w:jc w:val="center"/>
        </w:trPr>
        <w:tc>
          <w:tcPr>
            <w:tcW w:w="390" w:type="pct"/>
            <w:shd w:val="clear" w:color="auto" w:fill="F2F2F2" w:themeFill="background1" w:themeFillShade="F2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Step</w:t>
            </w:r>
          </w:p>
        </w:tc>
        <w:tc>
          <w:tcPr>
            <w:tcW w:w="865" w:type="pct"/>
            <w:shd w:val="clear" w:color="auto" w:fill="F2F2F2" w:themeFill="background1" w:themeFillShade="F2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Role</w:t>
            </w:r>
          </w:p>
        </w:tc>
        <w:tc>
          <w:tcPr>
            <w:tcW w:w="0" w:type="auto"/>
            <w:shd w:val="clear" w:color="auto" w:fill="F2F2F2" w:themeFill="background1" w:themeFillShade="F2"/>
            <w:hideMark/>
          </w:tcPr>
          <w:p w:rsidR="009F25B4" w:rsidRDefault="009F25B4">
            <w:pPr>
              <w:jc w:val="center"/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/>
                <w:bCs/>
                <w:color w:val="000000"/>
                <w:sz w:val="18"/>
                <w:szCs w:val="18"/>
              </w:rPr>
              <w:t>Action</w:t>
            </w:r>
          </w:p>
        </w:tc>
      </w:tr>
      <w:tr w:rsidR="009F25B4" w:rsidTr="000E4A4A">
        <w:trPr>
          <w:jc w:val="center"/>
        </w:trPr>
        <w:tc>
          <w:tcPr>
            <w:tcW w:w="0" w:type="auto"/>
            <w:hideMark/>
          </w:tcPr>
          <w:p w:rsidR="009F25B4" w:rsidRDefault="009F25B4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9F25B4">
              <w:rPr>
                <w:rFonts w:ascii="Verdana" w:hAnsi="Verdana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:rsidR="009F25B4" w:rsidRPr="0049309D" w:rsidRDefault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 w:rsidRPr="0049309D"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  <w:hideMark/>
          </w:tcPr>
          <w:p w:rsidR="00184021" w:rsidRPr="005F3B83" w:rsidRDefault="006A14A8" w:rsidP="006A14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Schedule </w:t>
            </w:r>
            <w:r w:rsidR="00254F23">
              <w:rPr>
                <w:rFonts w:ascii="Verdana" w:hAnsi="Verdana"/>
                <w:color w:val="000000"/>
                <w:sz w:val="18"/>
                <w:szCs w:val="18"/>
              </w:rPr>
              <w:t xml:space="preserve">and initiate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internal audit</w:t>
            </w:r>
            <w:r w:rsidRPr="006A14A8">
              <w:rPr>
                <w:rFonts w:ascii="Verdana" w:hAnsi="Verdana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(</w:t>
            </w:r>
            <w:r w:rsidRPr="006A14A8">
              <w:rPr>
                <w:rFonts w:ascii="Verdana" w:hAnsi="Verdana"/>
                <w:color w:val="000000"/>
                <w:sz w:val="18"/>
                <w:szCs w:val="18"/>
              </w:rPr>
              <w:t xml:space="preserve">at least 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once </w:t>
            </w:r>
            <w:r w:rsidRPr="006A14A8">
              <w:rPr>
                <w:rFonts w:ascii="Verdana" w:hAnsi="Verdana"/>
                <w:color w:val="000000"/>
                <w:sz w:val="18"/>
                <w:szCs w:val="18"/>
              </w:rPr>
              <w:t>annually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>)</w:t>
            </w:r>
            <w:r w:rsidRPr="006A14A8">
              <w:rPr>
                <w:rFonts w:ascii="Verdana" w:hAnsi="Verdana"/>
                <w:color w:val="000000"/>
                <w:sz w:val="18"/>
                <w:szCs w:val="18"/>
              </w:rPr>
              <w:t xml:space="preserve">. </w:t>
            </w:r>
          </w:p>
        </w:tc>
      </w:tr>
      <w:tr w:rsidR="009F25B4" w:rsidTr="000E4A4A">
        <w:trPr>
          <w:jc w:val="center"/>
        </w:trPr>
        <w:tc>
          <w:tcPr>
            <w:tcW w:w="0" w:type="auto"/>
            <w:hideMark/>
          </w:tcPr>
          <w:p w:rsidR="009F25B4" w:rsidRDefault="006A14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:rsidR="009F25B4" w:rsidRDefault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Lead Auditor</w:t>
            </w:r>
          </w:p>
        </w:tc>
        <w:tc>
          <w:tcPr>
            <w:tcW w:w="0" w:type="auto"/>
            <w:hideMark/>
          </w:tcPr>
          <w:p w:rsidR="00184021" w:rsidRPr="00254F23" w:rsidRDefault="00254F23" w:rsidP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Document</w:t>
            </w:r>
            <w:r w:rsidRPr="00254F23">
              <w:rPr>
                <w:rFonts w:ascii="Verdana" w:hAnsi="Verdana"/>
                <w:color w:val="000000"/>
                <w:sz w:val="18"/>
                <w:szCs w:val="18"/>
              </w:rPr>
              <w:t xml:space="preserve"> the scope of the audit on the Internal Audit Plan</w:t>
            </w:r>
            <w:r>
              <w:rPr>
                <w:rFonts w:ascii="Verdana" w:hAnsi="Verdana"/>
                <w:color w:val="000000"/>
                <w:sz w:val="18"/>
                <w:szCs w:val="18"/>
              </w:rPr>
              <w:t xml:space="preserve"> (IAP). Conduct an opening meeting with the group leaders in the department.</w:t>
            </w:r>
          </w:p>
        </w:tc>
      </w:tr>
      <w:tr w:rsidR="009F25B4" w:rsidTr="000E4A4A">
        <w:trPr>
          <w:jc w:val="center"/>
        </w:trPr>
        <w:tc>
          <w:tcPr>
            <w:tcW w:w="0" w:type="auto"/>
            <w:hideMark/>
          </w:tcPr>
          <w:p w:rsidR="009F25B4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:rsidR="009F25B4" w:rsidRDefault="00254F23" w:rsidP="00C8049D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Audit Team</w:t>
            </w:r>
          </w:p>
        </w:tc>
        <w:tc>
          <w:tcPr>
            <w:tcW w:w="0" w:type="auto"/>
            <w:hideMark/>
          </w:tcPr>
          <w:p w:rsidR="00184021" w:rsidRPr="00254F23" w:rsidRDefault="00254F23" w:rsidP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Perform the audit as per the IAP. Determine whether the ISMS </w:t>
            </w:r>
            <w:proofErr w:type="gramStart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conforms</w:t>
            </w:r>
            <w:proofErr w:type="gramEnd"/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to the ISO/IEC 27001 standard, and to the information security requirements established by the department, and is effectively implemented and managed.</w:t>
            </w:r>
          </w:p>
        </w:tc>
      </w:tr>
      <w:tr w:rsidR="009F25B4" w:rsidTr="000E4A4A">
        <w:trPr>
          <w:jc w:val="center"/>
        </w:trPr>
        <w:tc>
          <w:tcPr>
            <w:tcW w:w="0" w:type="auto"/>
            <w:hideMark/>
          </w:tcPr>
          <w:p w:rsidR="009F25B4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:rsidR="009F25B4" w:rsidRDefault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Audit Team</w:t>
            </w:r>
          </w:p>
        </w:tc>
        <w:tc>
          <w:tcPr>
            <w:tcW w:w="0" w:type="auto"/>
            <w:hideMark/>
          </w:tcPr>
          <w:p w:rsidR="00184021" w:rsidRPr="00254F23" w:rsidRDefault="00254F23" w:rsidP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Write up any preventive or corrective action requests.  </w:t>
            </w:r>
          </w:p>
        </w:tc>
      </w:tr>
      <w:tr w:rsidR="009F25B4" w:rsidTr="000E4A4A">
        <w:trPr>
          <w:jc w:val="center"/>
        </w:trPr>
        <w:tc>
          <w:tcPr>
            <w:tcW w:w="0" w:type="auto"/>
            <w:hideMark/>
          </w:tcPr>
          <w:p w:rsidR="009F25B4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F25B4" w:rsidRDefault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Lead Auditor</w:t>
            </w:r>
          </w:p>
        </w:tc>
        <w:tc>
          <w:tcPr>
            <w:tcW w:w="0" w:type="auto"/>
            <w:hideMark/>
          </w:tcPr>
          <w:p w:rsidR="009F25B4" w:rsidRPr="00254F23" w:rsidRDefault="00254F23" w:rsidP="00254F23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Ensure that the IAP has been implemented. Complete the Audit Summary Matrix from the IAP as a record the elements of the standard and areas audited.</w:t>
            </w:r>
          </w:p>
        </w:tc>
      </w:tr>
      <w:tr w:rsidR="002A1531" w:rsidTr="000E4A4A">
        <w:trPr>
          <w:jc w:val="center"/>
        </w:trPr>
        <w:tc>
          <w:tcPr>
            <w:tcW w:w="0" w:type="auto"/>
          </w:tcPr>
          <w:p w:rsidR="002A1531" w:rsidRPr="009F25B4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</w:tcPr>
          <w:p w:rsidR="002A1531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Lead Auditor</w:t>
            </w:r>
          </w:p>
        </w:tc>
        <w:tc>
          <w:tcPr>
            <w:tcW w:w="0" w:type="auto"/>
          </w:tcPr>
          <w:p w:rsidR="002A1531" w:rsidRPr="00254F23" w:rsidRDefault="00681AA8" w:rsidP="0043355B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Conduct a closing meeting with the group leaders, and explain non-conformances if any. D</w:t>
            </w:r>
            <w:r w:rsidRPr="00681AA8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ocuments all non-conformances and the audit plan in the Trouble Report System in accordance with </w:t>
            </w:r>
            <w:r w:rsidRPr="00681AA8">
              <w:rPr>
                <w:rFonts w:ascii="Verdana" w:hAnsi="Verdana"/>
                <w:bCs/>
                <w:i/>
                <w:color w:val="000000"/>
                <w:sz w:val="18"/>
                <w:szCs w:val="18"/>
              </w:rPr>
              <w:t>Argus Preventive and Corrective Action Procedure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.</w:t>
            </w:r>
            <w:r w:rsidR="0043355B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</w:t>
            </w:r>
          </w:p>
        </w:tc>
      </w:tr>
      <w:tr w:rsidR="001901D2" w:rsidTr="000E4A4A">
        <w:trPr>
          <w:trHeight w:val="638"/>
          <w:jc w:val="center"/>
        </w:trPr>
        <w:tc>
          <w:tcPr>
            <w:tcW w:w="0" w:type="auto"/>
          </w:tcPr>
          <w:p w:rsidR="001901D2" w:rsidRDefault="00681AA8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</w:tcPr>
          <w:p w:rsidR="001901D2" w:rsidRDefault="00C5400A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</w:tcPr>
          <w:p w:rsidR="006A6EB8" w:rsidRPr="00681AA8" w:rsidRDefault="00681AA8" w:rsidP="00681AA8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Request</w:t>
            </w:r>
            <w:r w:rsidRPr="00681AA8"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pr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eventive or corrective actions </w:t>
            </w:r>
            <w:r w:rsidRPr="00681AA8">
              <w:rPr>
                <w:rFonts w:ascii="Verdana" w:hAnsi="Verdana"/>
                <w:bCs/>
                <w:color w:val="000000"/>
                <w:sz w:val="18"/>
                <w:szCs w:val="18"/>
              </w:rPr>
              <w:t>from the appropriate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groups. Follow up on the requested preventive and corrective actions.</w:t>
            </w:r>
          </w:p>
        </w:tc>
      </w:tr>
      <w:tr w:rsidR="00333A6E" w:rsidTr="000E4A4A">
        <w:trPr>
          <w:trHeight w:val="359"/>
          <w:jc w:val="center"/>
        </w:trPr>
        <w:tc>
          <w:tcPr>
            <w:tcW w:w="0" w:type="auto"/>
          </w:tcPr>
          <w:p w:rsidR="00333A6E" w:rsidRDefault="0043355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</w:tcPr>
          <w:p w:rsidR="00333A6E" w:rsidRDefault="0043355B">
            <w:pPr>
              <w:rPr>
                <w:rFonts w:ascii="Verdana" w:hAnsi="Verdana"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color w:val="000000"/>
                <w:sz w:val="18"/>
                <w:szCs w:val="18"/>
              </w:rPr>
              <w:t>EEDH</w:t>
            </w:r>
          </w:p>
        </w:tc>
        <w:tc>
          <w:tcPr>
            <w:tcW w:w="0" w:type="auto"/>
          </w:tcPr>
          <w:p w:rsidR="00333A6E" w:rsidRPr="0043355B" w:rsidRDefault="0043355B" w:rsidP="0043355B">
            <w:pPr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Close the internal audit.</w:t>
            </w: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 xml:space="preserve"> The preventive and corrective actions do not have to be completed to close the internal audit. </w:t>
            </w:r>
          </w:p>
        </w:tc>
      </w:tr>
    </w:tbl>
    <w:p w:rsidR="008F3E96" w:rsidRDefault="008F3E96" w:rsidP="008D5C4F">
      <w:pPr>
        <w:pStyle w:val="Heading1"/>
      </w:pPr>
      <w:r>
        <w:lastRenderedPageBreak/>
        <w:t>Outputs</w:t>
      </w:r>
    </w:p>
    <w:p w:rsidR="0043355B" w:rsidRDefault="0043355B" w:rsidP="00DF7950">
      <w:pPr>
        <w:pStyle w:val="ListParagraph"/>
        <w:numPr>
          <w:ilvl w:val="0"/>
          <w:numId w:val="24"/>
        </w:numPr>
      </w:pPr>
      <w:r>
        <w:t>Audit findings</w:t>
      </w:r>
    </w:p>
    <w:p w:rsidR="00DF7950" w:rsidRDefault="0043355B" w:rsidP="00DF7950">
      <w:pPr>
        <w:pStyle w:val="ListParagraph"/>
        <w:numPr>
          <w:ilvl w:val="0"/>
          <w:numId w:val="24"/>
        </w:numPr>
      </w:pPr>
      <w:r>
        <w:t>Preventive and corrective actions</w:t>
      </w:r>
      <w:r w:rsidR="009F25B4">
        <w:t xml:space="preserve"> </w:t>
      </w:r>
      <w:bookmarkStart w:id="0" w:name="_GoBack"/>
      <w:bookmarkEnd w:id="0"/>
    </w:p>
    <w:p w:rsidR="008F3E96" w:rsidRDefault="008F3E96" w:rsidP="008D5C4F">
      <w:pPr>
        <w:pStyle w:val="Heading1"/>
      </w:pPr>
      <w:r>
        <w:t>Exit Criteria</w:t>
      </w:r>
    </w:p>
    <w:p w:rsidR="008F3E96" w:rsidRPr="008F3E96" w:rsidRDefault="0043355B" w:rsidP="0003341A">
      <w:pPr>
        <w:pStyle w:val="ListParagraph"/>
        <w:numPr>
          <w:ilvl w:val="0"/>
          <w:numId w:val="24"/>
        </w:numPr>
      </w:pPr>
      <w:r>
        <w:t>The internal audit is closed.</w:t>
      </w:r>
    </w:p>
    <w:p w:rsidR="00C955A7" w:rsidRDefault="00C955A7" w:rsidP="008D5C4F">
      <w:pPr>
        <w:pStyle w:val="Heading1"/>
      </w:pPr>
      <w:r w:rsidRPr="008D5C4F">
        <w:t>Exceptions</w:t>
      </w:r>
    </w:p>
    <w:p w:rsidR="002B38C4" w:rsidRPr="002B38C4" w:rsidRDefault="002B38C4" w:rsidP="002B38C4">
      <w:pPr>
        <w:pStyle w:val="ListParagraph"/>
      </w:pPr>
      <w:r>
        <w:t>All exceptions must be approved by the Electronics Department Head.</w:t>
      </w:r>
    </w:p>
    <w:p w:rsidR="0030055B" w:rsidRDefault="0030055B" w:rsidP="002A08F4">
      <w:pPr>
        <w:pStyle w:val="Heading1"/>
      </w:pPr>
      <w:r>
        <w:t>References</w:t>
      </w:r>
    </w:p>
    <w:p w:rsidR="00110CAB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M01 </w:t>
      </w:r>
      <w:r w:rsidR="00BC56F0" w:rsidRPr="008156F8">
        <w:rPr>
          <w:i/>
        </w:rPr>
        <w:t>NSCL Electronics Department ISMS Manual</w:t>
      </w:r>
      <w:r w:rsidR="008156F8">
        <w:t>, NSCL Document Server, Electronics Folder</w:t>
      </w:r>
    </w:p>
    <w:p w:rsidR="00543A97" w:rsidRDefault="0015615E" w:rsidP="00BC56F0">
      <w:pPr>
        <w:pStyle w:val="ListParagraph"/>
        <w:numPr>
          <w:ilvl w:val="1"/>
          <w:numId w:val="1"/>
        </w:numPr>
      </w:pPr>
      <w:r>
        <w:rPr>
          <w:i/>
        </w:rPr>
        <w:t xml:space="preserve">P501 </w:t>
      </w:r>
      <w:r w:rsidR="00543A97">
        <w:rPr>
          <w:i/>
        </w:rPr>
        <w:t xml:space="preserve">Information Security </w:t>
      </w:r>
      <w:r w:rsidR="00B96BE5">
        <w:rPr>
          <w:i/>
        </w:rPr>
        <w:t>Policy</w:t>
      </w:r>
      <w:r w:rsidR="00543A97">
        <w:rPr>
          <w:i/>
        </w:rPr>
        <w:t xml:space="preserve">, </w:t>
      </w:r>
      <w:r w:rsidR="00543A97">
        <w:t>NSCL Document Server, Electronics Folder</w:t>
      </w:r>
    </w:p>
    <w:p w:rsidR="0015615E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Asset Risk Profile, R01-Asset-Risk-Profile.xlsx</w:t>
      </w:r>
      <w:r w:rsidR="004D5E42" w:rsidRPr="004D5E42">
        <w:rPr>
          <w:i/>
        </w:rPr>
        <w:t>,</w:t>
      </w:r>
      <w:r w:rsidR="0015615E">
        <w:t xml:space="preserve"> NSCL Document Server, Electronics Folder</w:t>
      </w:r>
    </w:p>
    <w:p w:rsidR="00BF74EC" w:rsidRDefault="0003341A" w:rsidP="004D5E42">
      <w:pPr>
        <w:pStyle w:val="ListParagraph"/>
        <w:numPr>
          <w:ilvl w:val="1"/>
          <w:numId w:val="1"/>
        </w:numPr>
      </w:pPr>
      <w:r>
        <w:rPr>
          <w:i/>
        </w:rPr>
        <w:t>NSCL Quality Policy and Objectives</w:t>
      </w:r>
      <w:r w:rsidR="00BF74EC">
        <w:t xml:space="preserve">,  NSCL Document Server, </w:t>
      </w:r>
      <w:r>
        <w:t>QMS</w:t>
      </w:r>
      <w:r w:rsidR="00BF74EC">
        <w:t xml:space="preserve"> Folder</w:t>
      </w:r>
    </w:p>
    <w:p w:rsidR="00DA5F8E" w:rsidRPr="00110CAB" w:rsidRDefault="00DA5F8E" w:rsidP="00DA5F8E">
      <w:pPr>
        <w:pStyle w:val="ListParagraph"/>
        <w:ind w:left="1080"/>
      </w:pPr>
    </w:p>
    <w:p w:rsidR="00FF7BA7" w:rsidRPr="002C078D" w:rsidRDefault="0030055B" w:rsidP="002A08F4">
      <w:pPr>
        <w:pStyle w:val="Heading1"/>
      </w:pPr>
      <w:r>
        <w:t xml:space="preserve">Revision </w:t>
      </w:r>
      <w:r w:rsidR="00FF7BA7" w:rsidRPr="002C078D">
        <w:t>History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1350"/>
        <w:gridCol w:w="1260"/>
        <w:gridCol w:w="6840"/>
      </w:tblGrid>
      <w:tr w:rsidR="00FF7BA7" w:rsidRPr="002568B6" w:rsidTr="00E9226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FF7BA7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</w:t>
            </w:r>
          </w:p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Level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Date</w:t>
            </w: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FF7BA7" w:rsidRPr="00B8430C" w:rsidRDefault="00B8430C" w:rsidP="00C955A7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Revision Changes</w:t>
            </w:r>
          </w:p>
        </w:tc>
      </w:tr>
      <w:tr w:rsidR="00FF7BA7" w:rsidRPr="002568B6" w:rsidTr="00CC44B2">
        <w:trPr>
          <w:cantSplit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  <w:tc>
          <w:tcPr>
            <w:tcW w:w="6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F7BA7" w:rsidRPr="002568B6" w:rsidRDefault="00FF7BA7" w:rsidP="00C955A7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C44B2" w:rsidRDefault="00CC44B2" w:rsidP="00CC44B2">
      <w:pPr>
        <w:pStyle w:val="Heading1"/>
        <w:numPr>
          <w:ilvl w:val="0"/>
          <w:numId w:val="0"/>
        </w:numPr>
        <w:ind w:left="360"/>
      </w:pPr>
    </w:p>
    <w:p w:rsidR="00C955A7" w:rsidRDefault="00B8430C" w:rsidP="00B8430C">
      <w:pPr>
        <w:pStyle w:val="Heading1"/>
      </w:pPr>
      <w:r>
        <w:t>Reviews</w:t>
      </w:r>
    </w:p>
    <w:tbl>
      <w:tblPr>
        <w:tblW w:w="9450" w:type="dxa"/>
        <w:tblInd w:w="468" w:type="dxa"/>
        <w:tblLayout w:type="fixed"/>
        <w:tblLook w:val="0000" w:firstRow="0" w:lastRow="0" w:firstColumn="0" w:lastColumn="0" w:noHBand="0" w:noVBand="0"/>
      </w:tblPr>
      <w:tblGrid>
        <w:gridCol w:w="7830"/>
        <w:gridCol w:w="1620"/>
      </w:tblGrid>
      <w:tr w:rsidR="00B8430C" w:rsidRPr="002568B6" w:rsidTr="00E9226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Reviewer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B8430C" w:rsidRPr="00B8430C" w:rsidRDefault="00B8430C" w:rsidP="00C02A2D">
            <w:pPr>
              <w:pStyle w:val="List"/>
              <w:ind w:left="0" w:firstLine="0"/>
              <w:rPr>
                <w:szCs w:val="22"/>
              </w:rPr>
            </w:pPr>
            <w:r w:rsidRPr="00B8430C">
              <w:rPr>
                <w:sz w:val="22"/>
                <w:szCs w:val="22"/>
              </w:rPr>
              <w:t>Review Date</w:t>
            </w:r>
          </w:p>
        </w:tc>
      </w:tr>
      <w:tr w:rsidR="00B8430C" w:rsidRPr="002568B6" w:rsidTr="00CC44B2">
        <w:trPr>
          <w:cantSplit/>
        </w:trPr>
        <w:tc>
          <w:tcPr>
            <w:tcW w:w="7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CC44B2" w:rsidP="00C02A2D">
            <w:pPr>
              <w:pStyle w:val="List"/>
              <w:ind w:left="0" w:firstLine="0"/>
              <w:rPr>
                <w:szCs w:val="24"/>
              </w:rPr>
            </w:pPr>
            <w:r>
              <w:rPr>
                <w:szCs w:val="24"/>
              </w:rPr>
              <w:t>Information Security Working Group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430C" w:rsidRPr="002568B6" w:rsidRDefault="00B8430C" w:rsidP="00C02A2D">
            <w:pPr>
              <w:pStyle w:val="List"/>
              <w:ind w:left="0" w:firstLine="0"/>
              <w:rPr>
                <w:szCs w:val="24"/>
              </w:rPr>
            </w:pPr>
          </w:p>
        </w:tc>
      </w:tr>
    </w:tbl>
    <w:p w:rsidR="00C955A7" w:rsidRDefault="00C955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 w:val="28"/>
          <w:szCs w:val="28"/>
          <w:u w:val="single"/>
        </w:rPr>
      </w:pPr>
    </w:p>
    <w:p w:rsidR="00FF7BA7" w:rsidRDefault="00FF7BA7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  <w:u w:val="single"/>
        </w:rPr>
        <w:t>Approved</w:t>
      </w:r>
    </w:p>
    <w:p w:rsidR="00CC44B2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CC44B2" w:rsidRPr="002568B6" w:rsidRDefault="00CC44B2" w:rsidP="00FF7BA7">
      <w:pPr>
        <w:autoSpaceDE w:val="0"/>
        <w:autoSpaceDN w:val="0"/>
        <w:adjustRightInd w:val="0"/>
        <w:spacing w:before="100" w:after="100"/>
        <w:jc w:val="center"/>
        <w:rPr>
          <w:b/>
          <w:color w:val="000000"/>
          <w:sz w:val="28"/>
          <w:szCs w:val="28"/>
          <w:u w:val="single"/>
        </w:rPr>
      </w:pP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</w:p>
    <w:p w:rsidR="00FF7BA7" w:rsidRPr="002568B6" w:rsidRDefault="008156F8" w:rsidP="00FF7BA7">
      <w:pPr>
        <w:autoSpaceDE w:val="0"/>
        <w:autoSpaceDN w:val="0"/>
        <w:adjustRightInd w:val="0"/>
        <w:spacing w:before="100" w:after="100"/>
        <w:rPr>
          <w:color w:val="000000"/>
          <w:szCs w:val="24"/>
        </w:rPr>
      </w:pPr>
      <w:r>
        <w:rPr>
          <w:b/>
          <w:color w:val="000000"/>
          <w:szCs w:val="24"/>
          <w:u w:val="single"/>
        </w:rPr>
        <w:t>Department Head</w:t>
      </w:r>
      <w:r w:rsidR="00FF7BA7" w:rsidRPr="002568B6">
        <w:rPr>
          <w:b/>
          <w:color w:val="000000"/>
          <w:szCs w:val="24"/>
          <w:u w:val="single"/>
        </w:rPr>
        <w:t>:</w:t>
      </w:r>
      <w:r w:rsidR="00FF7BA7" w:rsidRPr="00F20D27">
        <w:rPr>
          <w:b/>
          <w:color w:val="000000"/>
          <w:szCs w:val="24"/>
        </w:rPr>
        <w:t xml:space="preserve"> </w:t>
      </w:r>
      <w:r w:rsidR="00FF7BA7" w:rsidRPr="00F20D2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>
        <w:rPr>
          <w:b/>
          <w:color w:val="000000"/>
          <w:szCs w:val="24"/>
        </w:rPr>
        <w:tab/>
      </w:r>
      <w:r w:rsidR="00FF7BA7" w:rsidRPr="002568B6">
        <w:rPr>
          <w:color w:val="000000"/>
          <w:szCs w:val="24"/>
        </w:rPr>
        <w:t>___________</w:t>
      </w:r>
      <w:r w:rsidR="00FF7BA7">
        <w:rPr>
          <w:color w:val="000000"/>
          <w:szCs w:val="24"/>
        </w:rPr>
        <w:t>_____________________</w:t>
      </w:r>
    </w:p>
    <w:p w:rsidR="00FF7BA7" w:rsidRPr="002568B6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</w:p>
    <w:p w:rsidR="00FF7BA7" w:rsidRPr="00AA236F" w:rsidRDefault="00FF7BA7" w:rsidP="00FF7BA7">
      <w:pPr>
        <w:autoSpaceDE w:val="0"/>
        <w:autoSpaceDN w:val="0"/>
        <w:adjustRightInd w:val="0"/>
        <w:spacing w:before="100" w:after="100"/>
        <w:rPr>
          <w:b/>
          <w:color w:val="000000"/>
          <w:szCs w:val="24"/>
        </w:rPr>
      </w:pPr>
      <w:r w:rsidRPr="002568B6">
        <w:rPr>
          <w:b/>
          <w:color w:val="000000"/>
          <w:szCs w:val="24"/>
        </w:rPr>
        <w:t>Approval Date: ______________</w:t>
      </w:r>
      <w:r>
        <w:rPr>
          <w:b/>
          <w:color w:val="000000"/>
          <w:szCs w:val="24"/>
        </w:rPr>
        <w:t>__</w:t>
      </w:r>
      <w:r>
        <w:rPr>
          <w:b/>
          <w:color w:val="000000"/>
          <w:szCs w:val="24"/>
        </w:rPr>
        <w:tab/>
      </w:r>
      <w:r>
        <w:rPr>
          <w:b/>
          <w:color w:val="000000"/>
          <w:szCs w:val="24"/>
        </w:rPr>
        <w:tab/>
        <w:t xml:space="preserve">Effective Date: </w:t>
      </w:r>
      <w:r w:rsidRPr="002568B6">
        <w:rPr>
          <w:b/>
          <w:color w:val="000000"/>
          <w:szCs w:val="24"/>
        </w:rPr>
        <w:t>______________</w:t>
      </w:r>
      <w:r>
        <w:rPr>
          <w:b/>
          <w:color w:val="000000"/>
          <w:szCs w:val="24"/>
        </w:rPr>
        <w:t>__</w:t>
      </w:r>
    </w:p>
    <w:p w:rsidR="00FF7BA7" w:rsidRPr="006E6A72" w:rsidRDefault="00FF7BA7" w:rsidP="00FF7BA7">
      <w:pPr>
        <w:pStyle w:val="ListParagraph"/>
        <w:ind w:left="360"/>
      </w:pPr>
    </w:p>
    <w:p w:rsidR="00375E14" w:rsidRDefault="00375E14" w:rsidP="00C955A7">
      <w:pPr>
        <w:spacing w:after="200" w:line="276" w:lineRule="auto"/>
      </w:pPr>
    </w:p>
    <w:sectPr w:rsidR="00375E14" w:rsidSect="00C955A7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756E" w:rsidRDefault="003D756E" w:rsidP="00FF7BA7">
      <w:r>
        <w:separator/>
      </w:r>
    </w:p>
  </w:endnote>
  <w:endnote w:type="continuationSeparator" w:id="0">
    <w:p w:rsidR="003D756E" w:rsidRDefault="003D756E" w:rsidP="00FF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2766386"/>
      <w:placeholder>
        <w:docPart w:val="AF4E9C732B104282A83A586D8D72C691"/>
      </w:placeholder>
      <w:temporary/>
      <w:showingPlcHdr/>
    </w:sdtPr>
    <w:sdtEndPr/>
    <w:sdtContent>
      <w:p w:rsidR="00E04718" w:rsidRDefault="00E04718">
        <w:pPr>
          <w:pStyle w:val="Footer"/>
        </w:pPr>
        <w:r>
          <w:t>[Type text]</w: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 w:rsidP="00474AB6">
    <w:pPr>
      <w:rPr>
        <w:sz w:val="20"/>
      </w:rPr>
    </w:pPr>
  </w:p>
  <w:p w:rsidR="00E04718" w:rsidRDefault="003D756E" w:rsidP="00474AB6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0;margin-top:8.4pt;width:469.35pt;height:0;z-index:251659264" o:connectortype="straight"/>
      </w:pict>
    </w:r>
  </w:p>
  <w:p w:rsidR="00E04718" w:rsidRDefault="00E04718" w:rsidP="00474AB6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401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43355B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43355B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Default="00E0471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rPr>
        <w:sz w:val="20"/>
      </w:rPr>
    </w:pPr>
  </w:p>
  <w:p w:rsidR="00E04718" w:rsidRDefault="003D756E">
    <w:pPr>
      <w:rPr>
        <w:sz w:val="20"/>
      </w:rPr>
    </w:pPr>
    <w:r>
      <w:rPr>
        <w:noProof/>
        <w:sz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0" type="#_x0000_t32" style="position:absolute;margin-left:0;margin-top:4.8pt;width:469.35pt;height:0;z-index:251658240" o:connectortype="straight"/>
      </w:pict>
    </w:r>
  </w:p>
  <w:p w:rsidR="00E04718" w:rsidRDefault="00E04718">
    <w:r>
      <w:rPr>
        <w:sz w:val="20"/>
      </w:rPr>
      <w:t xml:space="preserve">Argus </w:t>
    </w:r>
    <w:r w:rsidRPr="00BB7DEC">
      <w:rPr>
        <w:sz w:val="20"/>
      </w:rPr>
      <w:t xml:space="preserve">ISMS </w:t>
    </w:r>
    <w:r w:rsidRPr="00BB7DEC">
      <w:rPr>
        <w:sz w:val="20"/>
      </w:rPr>
      <w:ptab w:relativeTo="margin" w:alignment="center" w:leader="none"/>
    </w:r>
    <w:r w:rsidR="0068569D">
      <w:rPr>
        <w:sz w:val="20"/>
      </w:rPr>
      <w:t>Procedure</w:t>
    </w:r>
    <w:r w:rsidRPr="00BB7DEC">
      <w:rPr>
        <w:sz w:val="20"/>
      </w:rPr>
      <w:ptab w:relativeTo="margin" w:alignment="right" w:leader="none"/>
    </w:r>
    <w:r w:rsidRPr="00BB7DEC">
      <w:rPr>
        <w:sz w:val="20"/>
      </w:rPr>
      <w:t xml:space="preserve"> </w:t>
    </w:r>
    <w:sdt>
      <w:sdtPr>
        <w:id w:val="502766387"/>
        <w:docPartObj>
          <w:docPartGallery w:val="Page Numbers (Top of Page)"/>
          <w:docPartUnique/>
        </w:docPartObj>
      </w:sdtPr>
      <w:sdtEndPr/>
      <w:sdtContent>
        <w:r w:rsidRPr="00BB7DEC">
          <w:rPr>
            <w:sz w:val="20"/>
          </w:rPr>
          <w:t xml:space="preserve">Page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PAGE </w:instrText>
        </w:r>
        <w:r w:rsidRPr="00BB7DEC">
          <w:rPr>
            <w:sz w:val="20"/>
          </w:rPr>
          <w:fldChar w:fldCharType="separate"/>
        </w:r>
        <w:r w:rsidR="0043355B">
          <w:rPr>
            <w:noProof/>
            <w:sz w:val="20"/>
          </w:rPr>
          <w:t>1</w:t>
        </w:r>
        <w:r w:rsidRPr="00BB7DEC">
          <w:rPr>
            <w:sz w:val="20"/>
          </w:rPr>
          <w:fldChar w:fldCharType="end"/>
        </w:r>
        <w:r w:rsidRPr="00BB7DEC">
          <w:rPr>
            <w:sz w:val="20"/>
          </w:rPr>
          <w:t xml:space="preserve"> of </w:t>
        </w:r>
        <w:r w:rsidRPr="00BB7DEC">
          <w:rPr>
            <w:sz w:val="20"/>
          </w:rPr>
          <w:fldChar w:fldCharType="begin"/>
        </w:r>
        <w:r w:rsidRPr="00BB7DEC">
          <w:rPr>
            <w:sz w:val="20"/>
          </w:rPr>
          <w:instrText xml:space="preserve"> NUMPAGES  </w:instrText>
        </w:r>
        <w:r w:rsidRPr="00BB7DEC">
          <w:rPr>
            <w:sz w:val="20"/>
          </w:rPr>
          <w:fldChar w:fldCharType="separate"/>
        </w:r>
        <w:r w:rsidR="0043355B">
          <w:rPr>
            <w:noProof/>
            <w:sz w:val="20"/>
          </w:rPr>
          <w:t>2</w:t>
        </w:r>
        <w:r w:rsidRPr="00BB7DEC">
          <w:rPr>
            <w:sz w:val="20"/>
          </w:rPr>
          <w:fldChar w:fldCharType="end"/>
        </w:r>
      </w:sdtContent>
    </w:sdt>
  </w:p>
  <w:p w:rsidR="00E04718" w:rsidRPr="00BB7DEC" w:rsidRDefault="00E04718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756E" w:rsidRDefault="003D756E" w:rsidP="00FF7BA7">
      <w:r>
        <w:separator/>
      </w:r>
    </w:p>
  </w:footnote>
  <w:footnote w:type="continuationSeparator" w:id="0">
    <w:p w:rsidR="003D756E" w:rsidRDefault="003D756E" w:rsidP="00FF7B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4718" w:rsidRDefault="00E04718">
    <w:pPr>
      <w:pStyle w:val="Header"/>
    </w:pPr>
  </w:p>
  <w:p w:rsidR="00E04718" w:rsidRDefault="00E04718">
    <w:pPr>
      <w:pStyle w:val="Header"/>
    </w:pPr>
  </w:p>
  <w:p w:rsidR="00E04718" w:rsidRDefault="00E0471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2370"/>
      <w:gridCol w:w="1050"/>
      <w:gridCol w:w="1320"/>
      <w:gridCol w:w="2370"/>
    </w:tblGrid>
    <w:tr w:rsidR="00E04718" w:rsidTr="00C955A7">
      <w:trPr>
        <w:cantSplit/>
        <w:trHeight w:val="530"/>
      </w:trPr>
      <w:tc>
        <w:tcPr>
          <w:tcW w:w="2808" w:type="dxa"/>
          <w:vMerge w:val="restart"/>
        </w:tcPr>
        <w:p w:rsidR="00E04718" w:rsidRDefault="00E04718" w:rsidP="00C955A7">
          <w:pPr>
            <w:pStyle w:val="Header"/>
          </w:pP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0DC293AB" wp14:editId="7CA7C682">
                <wp:extent cx="740774" cy="925551"/>
                <wp:effectExtent l="19050" t="0" r="2176" b="0"/>
                <wp:docPr id="1" name="Picture 76" descr="http://tbn3.google.com/images?q=tbn:8RffAVvCrnXaoM:http://www.niowaveinc.com/images/nscl_logo_animated.gif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6" descr="http://tbn3.google.com/images?q=tbn:8RffAVvCrnXaoM:http://www.niowaveinc.com/images/nscl_logo_animated.gif">
                          <a:hlinkClick r:id="rId1"/>
                        </pic:cNvPr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47889" cy="934441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noProof/>
              <w:color w:val="0000FF"/>
            </w:rPr>
            <w:drawing>
              <wp:inline distT="0" distB="0" distL="0" distR="0" wp14:anchorId="4B775CB1" wp14:editId="3D2BC8B2">
                <wp:extent cx="874294" cy="925551"/>
                <wp:effectExtent l="0" t="0" r="0" b="0"/>
                <wp:docPr id="2" name="Picture 1" descr="C:\Documents and Settings\lashbroo\Desktop\FRIB_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Documents and Settings\lashbroo\Desktop\FRIB_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0909" cy="93255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420" w:type="dxa"/>
          <w:gridSpan w:val="2"/>
          <w:tcBorders>
            <w:bottom w:val="nil"/>
          </w:tcBorders>
        </w:tcPr>
        <w:p w:rsidR="00E04718" w:rsidRDefault="00E04718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Procedure</w:t>
          </w:r>
          <w:r w:rsidRPr="00681C88">
            <w:rPr>
              <w:rFonts w:ascii="Arial" w:hAnsi="Arial" w:cs="Arial"/>
              <w:b/>
              <w:sz w:val="22"/>
              <w:szCs w:val="22"/>
            </w:rPr>
            <w:t xml:space="preserve"> Number:</w:t>
          </w:r>
        </w:p>
        <w:p w:rsidR="000215C9" w:rsidRPr="000215C9" w:rsidRDefault="000203A0" w:rsidP="00C955A7">
          <w:pPr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EE-ISMS-W</w:t>
          </w:r>
          <w:r w:rsidR="000215C9">
            <w:rPr>
              <w:rFonts w:ascii="Arial" w:hAnsi="Arial" w:cs="Arial"/>
              <w:b/>
              <w:sz w:val="22"/>
              <w:szCs w:val="22"/>
            </w:rPr>
            <w:t>0</w:t>
          </w:r>
          <w:r w:rsidR="003A1B36">
            <w:rPr>
              <w:rFonts w:ascii="Arial" w:hAnsi="Arial" w:cs="Arial"/>
              <w:b/>
              <w:sz w:val="22"/>
              <w:szCs w:val="22"/>
            </w:rPr>
            <w:t>106</w:t>
          </w:r>
        </w:p>
        <w:p w:rsidR="00E04718" w:rsidRPr="00681C88" w:rsidRDefault="00E04718" w:rsidP="00C955A7">
          <w:pPr>
            <w:pStyle w:val="Header"/>
            <w:rPr>
              <w:rFonts w:ascii="Arial" w:hAnsi="Arial" w:cs="Arial"/>
              <w:szCs w:val="22"/>
            </w:rPr>
          </w:pPr>
        </w:p>
      </w:tc>
      <w:tc>
        <w:tcPr>
          <w:tcW w:w="3690" w:type="dxa"/>
          <w:gridSpan w:val="2"/>
          <w:tcBorders>
            <w:bottom w:val="nil"/>
          </w:tcBorders>
        </w:tcPr>
        <w:p w:rsidR="00E04718" w:rsidRPr="00681C88" w:rsidRDefault="00E04718" w:rsidP="00C955A7">
          <w:pPr>
            <w:rPr>
              <w:rFonts w:ascii="Arial" w:hAnsi="Arial" w:cs="Arial"/>
              <w:b/>
              <w:bCs/>
              <w:color w:val="000000"/>
              <w:szCs w:val="22"/>
            </w:rPr>
          </w:pPr>
          <w:r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Current Revision Level:</w:t>
          </w:r>
        </w:p>
        <w:p w:rsidR="00E04718" w:rsidRPr="00681C88" w:rsidRDefault="00E04718" w:rsidP="00C955A7">
          <w:pPr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30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Pr="00681C88" w:rsidRDefault="00E04718" w:rsidP="00C955A7">
          <w:pPr>
            <w:pStyle w:val="Header"/>
            <w:rPr>
              <w:rFonts w:ascii="Arial" w:hAnsi="Arial" w:cs="Arial"/>
              <w:b/>
              <w:bCs/>
              <w:color w:val="000000"/>
              <w:szCs w:val="22"/>
            </w:rPr>
          </w:pPr>
          <w:r w:rsidRPr="00681C88">
            <w:rPr>
              <w:rFonts w:ascii="Arial" w:hAnsi="Arial" w:cs="Arial"/>
              <w:b/>
              <w:bCs/>
              <w:color w:val="000000"/>
              <w:sz w:val="22"/>
              <w:szCs w:val="22"/>
            </w:rPr>
            <w:t>Initial Issue Date: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bCs/>
              <w:color w:val="000000"/>
              <w:szCs w:val="22"/>
            </w:rPr>
          </w:pPr>
          <w:r w:rsidRPr="0030055B">
            <w:rPr>
              <w:rFonts w:ascii="Arial" w:hAnsi="Arial" w:cs="Arial"/>
              <w:bCs/>
              <w:color w:val="000000"/>
              <w:sz w:val="22"/>
              <w:szCs w:val="22"/>
            </w:rPr>
            <w:t>May 26. 2011</w:t>
          </w:r>
        </w:p>
      </w:tc>
      <w:tc>
        <w:tcPr>
          <w:tcW w:w="2370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 xml:space="preserve">Revision </w:t>
          </w:r>
          <w:r w:rsidRPr="00681C88">
            <w:rPr>
              <w:rFonts w:ascii="Arial" w:hAnsi="Arial" w:cs="Arial"/>
              <w:b/>
              <w:sz w:val="22"/>
              <w:szCs w:val="22"/>
            </w:rPr>
            <w:t>Date:</w:t>
          </w:r>
        </w:p>
        <w:p w:rsidR="00E04718" w:rsidRDefault="00E04718" w:rsidP="00C955A7">
          <w:pPr>
            <w:pStyle w:val="Header"/>
            <w:jc w:val="right"/>
            <w:rPr>
              <w:rFonts w:ascii="Arial" w:hAnsi="Arial" w:cs="Arial"/>
              <w:b/>
              <w:szCs w:val="22"/>
            </w:rPr>
          </w:pPr>
        </w:p>
      </w:tc>
      <w:tc>
        <w:tcPr>
          <w:tcW w:w="2370" w:type="dxa"/>
          <w:tcBorders>
            <w:top w:val="single" w:sz="4" w:space="0" w:color="auto"/>
            <w:bottom w:val="single" w:sz="4" w:space="0" w:color="auto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Author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jc w:val="right"/>
            <w:rPr>
              <w:rFonts w:ascii="Arial" w:hAnsi="Arial" w:cs="Arial"/>
              <w:bCs/>
              <w:color w:val="000000"/>
              <w:szCs w:val="22"/>
            </w:rPr>
          </w:pPr>
          <w:r>
            <w:rPr>
              <w:rFonts w:ascii="Arial" w:hAnsi="Arial" w:cs="Arial"/>
              <w:bCs/>
              <w:color w:val="000000"/>
              <w:sz w:val="22"/>
              <w:szCs w:val="22"/>
            </w:rPr>
            <w:t>IS Working Group</w:t>
          </w:r>
        </w:p>
      </w:tc>
    </w:tr>
    <w:tr w:rsidR="00E04718" w:rsidTr="00C955A7">
      <w:trPr>
        <w:cantSplit/>
        <w:trHeight w:val="591"/>
      </w:trPr>
      <w:tc>
        <w:tcPr>
          <w:tcW w:w="2808" w:type="dxa"/>
          <w:vMerge/>
        </w:tcPr>
        <w:p w:rsidR="00E04718" w:rsidRDefault="00E04718" w:rsidP="00C955A7">
          <w:pPr>
            <w:pStyle w:val="Header"/>
          </w:pPr>
        </w:p>
      </w:tc>
      <w:tc>
        <w:tcPr>
          <w:tcW w:w="7110" w:type="dxa"/>
          <w:gridSpan w:val="4"/>
          <w:tcBorders>
            <w:top w:val="nil"/>
          </w:tcBorders>
        </w:tcPr>
        <w:p w:rsidR="00E04718" w:rsidRDefault="00E04718" w:rsidP="00C955A7">
          <w:pPr>
            <w:pStyle w:val="Header"/>
            <w:rPr>
              <w:rFonts w:ascii="Arial" w:hAnsi="Arial" w:cs="Arial"/>
              <w:b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Who is Affected</w:t>
          </w:r>
          <w:r w:rsidRPr="00681C88">
            <w:rPr>
              <w:rFonts w:ascii="Arial" w:hAnsi="Arial" w:cs="Arial"/>
              <w:b/>
              <w:sz w:val="22"/>
              <w:szCs w:val="22"/>
            </w:rPr>
            <w:t>:</w:t>
          </w:r>
        </w:p>
        <w:p w:rsidR="00E04718" w:rsidRPr="0030055B" w:rsidRDefault="00E04718" w:rsidP="00C955A7">
          <w:pPr>
            <w:pStyle w:val="Header"/>
            <w:jc w:val="right"/>
            <w:rPr>
              <w:rFonts w:ascii="Arial" w:hAnsi="Arial" w:cs="Arial"/>
              <w:szCs w:val="22"/>
            </w:rPr>
          </w:pPr>
        </w:p>
      </w:tc>
    </w:tr>
    <w:tr w:rsidR="00E04718" w:rsidTr="00C955A7">
      <w:trPr>
        <w:cantSplit/>
        <w:trHeight w:val="573"/>
      </w:trPr>
      <w:tc>
        <w:tcPr>
          <w:tcW w:w="9918" w:type="dxa"/>
          <w:gridSpan w:val="5"/>
        </w:tcPr>
        <w:p w:rsidR="00E04718" w:rsidRDefault="00E04718" w:rsidP="00C955A7">
          <w:pPr>
            <w:rPr>
              <w:rFonts w:ascii="Arial" w:hAnsi="Arial" w:cs="Arial"/>
              <w:sz w:val="16"/>
            </w:rPr>
          </w:pPr>
        </w:p>
        <w:p w:rsidR="00E04718" w:rsidRDefault="00E04718" w:rsidP="003A1B36">
          <w:pPr>
            <w:rPr>
              <w:color w:val="000000"/>
              <w:sz w:val="18"/>
            </w:rPr>
          </w:pPr>
          <w:r>
            <w:rPr>
              <w:rFonts w:ascii="Arial" w:hAnsi="Arial" w:cs="Arial"/>
              <w:b/>
            </w:rPr>
            <w:t>Procedure</w:t>
          </w:r>
          <w:r w:rsidRPr="00FE4B6E">
            <w:rPr>
              <w:rFonts w:ascii="Arial" w:hAnsi="Arial" w:cs="Arial"/>
              <w:b/>
            </w:rPr>
            <w:t xml:space="preserve"> Title</w:t>
          </w:r>
          <w:r w:rsidRPr="000118D0">
            <w:rPr>
              <w:rFonts w:ascii="Arial" w:hAnsi="Arial" w:cs="Arial"/>
              <w:b/>
              <w:szCs w:val="24"/>
            </w:rPr>
            <w:t>:</w:t>
          </w:r>
          <w:r w:rsidRPr="000118D0">
            <w:rPr>
              <w:rFonts w:ascii="Arial" w:hAnsi="Arial" w:cs="Arial"/>
              <w:szCs w:val="24"/>
            </w:rPr>
            <w:t xml:space="preserve">  </w:t>
          </w:r>
          <w:r w:rsidR="000215C9">
            <w:rPr>
              <w:rFonts w:ascii="Arial" w:hAnsi="Arial" w:cs="Arial"/>
              <w:szCs w:val="24"/>
            </w:rPr>
            <w:t xml:space="preserve">Argus </w:t>
          </w:r>
          <w:r w:rsidR="003A1B36">
            <w:rPr>
              <w:rFonts w:ascii="Arial" w:hAnsi="Arial" w:cs="Arial"/>
              <w:szCs w:val="24"/>
            </w:rPr>
            <w:t>Internal Audit Procedure</w:t>
          </w:r>
        </w:p>
      </w:tc>
    </w:tr>
  </w:tbl>
  <w:p w:rsidR="00E04718" w:rsidRDefault="00E0471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14688"/>
    <w:multiLevelType w:val="hybridMultilevel"/>
    <w:tmpl w:val="16980D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103189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">
    <w:nsid w:val="12D362E2"/>
    <w:multiLevelType w:val="multilevel"/>
    <w:tmpl w:val="07B85E66"/>
    <w:lvl w:ilvl="0">
      <w:start w:val="1"/>
      <w:numFmt w:val="decimal"/>
      <w:pStyle w:val="Heading1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3">
    <w:nsid w:val="15F46146"/>
    <w:multiLevelType w:val="multilevel"/>
    <w:tmpl w:val="0CF2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96A2A1F"/>
    <w:multiLevelType w:val="hybridMultilevel"/>
    <w:tmpl w:val="265CF5C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B2D43E6"/>
    <w:multiLevelType w:val="multilevel"/>
    <w:tmpl w:val="07ACA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BF413C9"/>
    <w:multiLevelType w:val="multilevel"/>
    <w:tmpl w:val="78FA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5919AB"/>
    <w:multiLevelType w:val="hybridMultilevel"/>
    <w:tmpl w:val="A73C1888"/>
    <w:lvl w:ilvl="0" w:tplc="1EF065B0">
      <w:numFmt w:val="bullet"/>
      <w:lvlText w:val="•"/>
      <w:lvlJc w:val="left"/>
      <w:pPr>
        <w:ind w:left="2160" w:hanging="72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251710AE"/>
    <w:multiLevelType w:val="hybridMultilevel"/>
    <w:tmpl w:val="8F80C97E"/>
    <w:lvl w:ilvl="0" w:tplc="028C19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812359"/>
    <w:multiLevelType w:val="hybridMultilevel"/>
    <w:tmpl w:val="AA645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3249A7"/>
    <w:multiLevelType w:val="hybridMultilevel"/>
    <w:tmpl w:val="A5FAF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F750D0"/>
    <w:multiLevelType w:val="hybridMultilevel"/>
    <w:tmpl w:val="E28EF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642955"/>
    <w:multiLevelType w:val="multilevel"/>
    <w:tmpl w:val="9CD6671C"/>
    <w:lvl w:ilvl="0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13">
    <w:nsid w:val="39664B08"/>
    <w:multiLevelType w:val="hybridMultilevel"/>
    <w:tmpl w:val="86AE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B4440C"/>
    <w:multiLevelType w:val="hybridMultilevel"/>
    <w:tmpl w:val="74288D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7A4EFD"/>
    <w:multiLevelType w:val="hybridMultilevel"/>
    <w:tmpl w:val="24E85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23114E"/>
    <w:multiLevelType w:val="hybridMultilevel"/>
    <w:tmpl w:val="23ACD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8459D"/>
    <w:multiLevelType w:val="hybridMultilevel"/>
    <w:tmpl w:val="D8A84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1A037C1"/>
    <w:multiLevelType w:val="hybridMultilevel"/>
    <w:tmpl w:val="4D5C2F9E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58D41FC"/>
    <w:multiLevelType w:val="multilevel"/>
    <w:tmpl w:val="464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A0B102B"/>
    <w:multiLevelType w:val="multilevel"/>
    <w:tmpl w:val="E8D4C95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abstractNum w:abstractNumId="21">
    <w:nsid w:val="5A8864E8"/>
    <w:multiLevelType w:val="hybridMultilevel"/>
    <w:tmpl w:val="C78C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8F7E59"/>
    <w:multiLevelType w:val="hybridMultilevel"/>
    <w:tmpl w:val="CBEEE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D45FF5"/>
    <w:multiLevelType w:val="multilevel"/>
    <w:tmpl w:val="2F6CAC5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4">
    <w:nsid w:val="66620F46"/>
    <w:multiLevelType w:val="hybridMultilevel"/>
    <w:tmpl w:val="314CA4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682C245A"/>
    <w:multiLevelType w:val="multilevel"/>
    <w:tmpl w:val="9AB20E3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6">
    <w:nsid w:val="6CF53949"/>
    <w:multiLevelType w:val="hybridMultilevel"/>
    <w:tmpl w:val="E77AF70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>
    <w:nsid w:val="6DF52832"/>
    <w:multiLevelType w:val="hybridMultilevel"/>
    <w:tmpl w:val="74704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1EC4A22"/>
    <w:multiLevelType w:val="multilevel"/>
    <w:tmpl w:val="8D5EE786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29">
    <w:nsid w:val="764A4327"/>
    <w:multiLevelType w:val="multilevel"/>
    <w:tmpl w:val="FA8A07FE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0">
    <w:nsid w:val="7A38105D"/>
    <w:multiLevelType w:val="hybridMultilevel"/>
    <w:tmpl w:val="0CA20CC8"/>
    <w:lvl w:ilvl="0" w:tplc="B7BC5988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C621C0F"/>
    <w:multiLevelType w:val="multilevel"/>
    <w:tmpl w:val="55029472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b/>
        <w:color w:val="auto"/>
      </w:rPr>
    </w:lvl>
    <w:lvl w:ilvl="1">
      <w:start w:val="1"/>
      <w:numFmt w:val="decimal"/>
      <w:lvlText w:val="%1.%2"/>
      <w:lvlJc w:val="left"/>
      <w:pPr>
        <w:ind w:left="252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360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432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612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72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9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9000" w:hanging="1800"/>
      </w:pPr>
      <w:rPr>
        <w:rFonts w:hint="default"/>
        <w:color w:val="auto"/>
      </w:rPr>
    </w:lvl>
  </w:abstractNum>
  <w:abstractNum w:abstractNumId="32">
    <w:nsid w:val="7E270158"/>
    <w:multiLevelType w:val="multilevel"/>
    <w:tmpl w:val="62ACB68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auto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auto"/>
      </w:rPr>
    </w:lvl>
    <w:lvl w:ilvl="2">
      <w:start w:val="1"/>
      <w:numFmt w:val="bullet"/>
      <w:lvlText w:val=""/>
      <w:lvlJc w:val="left"/>
      <w:pPr>
        <w:ind w:left="2160" w:hanging="720"/>
      </w:pPr>
      <w:rPr>
        <w:rFonts w:ascii="Symbol" w:hAnsi="Symbol" w:hint="default"/>
        <w:color w:val="auto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color w:val="auto"/>
      </w:rPr>
    </w:lvl>
  </w:abstractNum>
  <w:num w:numId="1">
    <w:abstractNumId w:val="2"/>
  </w:num>
  <w:num w:numId="2">
    <w:abstractNumId w:val="30"/>
  </w:num>
  <w:num w:numId="3">
    <w:abstractNumId w:val="0"/>
  </w:num>
  <w:num w:numId="4">
    <w:abstractNumId w:val="18"/>
  </w:num>
  <w:num w:numId="5">
    <w:abstractNumId w:val="8"/>
  </w:num>
  <w:num w:numId="6">
    <w:abstractNumId w:val="20"/>
  </w:num>
  <w:num w:numId="7">
    <w:abstractNumId w:val="32"/>
  </w:num>
  <w:num w:numId="8">
    <w:abstractNumId w:val="1"/>
  </w:num>
  <w:num w:numId="9">
    <w:abstractNumId w:val="7"/>
  </w:num>
  <w:num w:numId="10">
    <w:abstractNumId w:val="12"/>
  </w:num>
  <w:num w:numId="11">
    <w:abstractNumId w:val="31"/>
  </w:num>
  <w:num w:numId="12">
    <w:abstractNumId w:val="24"/>
  </w:num>
  <w:num w:numId="13">
    <w:abstractNumId w:val="26"/>
  </w:num>
  <w:num w:numId="14">
    <w:abstractNumId w:val="29"/>
  </w:num>
  <w:num w:numId="15">
    <w:abstractNumId w:val="28"/>
  </w:num>
  <w:num w:numId="16">
    <w:abstractNumId w:val="23"/>
  </w:num>
  <w:num w:numId="17">
    <w:abstractNumId w:val="25"/>
  </w:num>
  <w:num w:numId="18">
    <w:abstractNumId w:val="4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3"/>
  </w:num>
  <w:num w:numId="22">
    <w:abstractNumId w:val="5"/>
  </w:num>
  <w:num w:numId="23">
    <w:abstractNumId w:val="22"/>
  </w:num>
  <w:num w:numId="24">
    <w:abstractNumId w:val="14"/>
  </w:num>
  <w:num w:numId="25">
    <w:abstractNumId w:val="19"/>
  </w:num>
  <w:num w:numId="26">
    <w:abstractNumId w:val="9"/>
  </w:num>
  <w:num w:numId="27">
    <w:abstractNumId w:val="17"/>
  </w:num>
  <w:num w:numId="28">
    <w:abstractNumId w:val="21"/>
  </w:num>
  <w:num w:numId="29">
    <w:abstractNumId w:val="13"/>
  </w:num>
  <w:num w:numId="30">
    <w:abstractNumId w:val="11"/>
  </w:num>
  <w:num w:numId="31">
    <w:abstractNumId w:val="10"/>
  </w:num>
  <w:num w:numId="32">
    <w:abstractNumId w:val="27"/>
  </w:num>
  <w:num w:numId="33">
    <w:abstractNumId w:val="16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53"/>
    <o:shapelayout v:ext="edit">
      <o:idmap v:ext="edit" data="2"/>
      <o:rules v:ext="edit">
        <o:r id="V:Rule1" type="connector" idref="#_x0000_s2050"/>
        <o:r id="V:Rule2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7BA7"/>
    <w:rsid w:val="0001597C"/>
    <w:rsid w:val="00015E6B"/>
    <w:rsid w:val="000203A0"/>
    <w:rsid w:val="000215C9"/>
    <w:rsid w:val="00025528"/>
    <w:rsid w:val="00033060"/>
    <w:rsid w:val="0003341A"/>
    <w:rsid w:val="0003348F"/>
    <w:rsid w:val="00037482"/>
    <w:rsid w:val="000447B5"/>
    <w:rsid w:val="0004764B"/>
    <w:rsid w:val="00051662"/>
    <w:rsid w:val="00075FEB"/>
    <w:rsid w:val="00076D19"/>
    <w:rsid w:val="00081690"/>
    <w:rsid w:val="000B381A"/>
    <w:rsid w:val="000C3B62"/>
    <w:rsid w:val="000E189E"/>
    <w:rsid w:val="000E287E"/>
    <w:rsid w:val="000E4A4A"/>
    <w:rsid w:val="000E656A"/>
    <w:rsid w:val="00110CAB"/>
    <w:rsid w:val="001178E5"/>
    <w:rsid w:val="00130314"/>
    <w:rsid w:val="00130E99"/>
    <w:rsid w:val="00144856"/>
    <w:rsid w:val="00153601"/>
    <w:rsid w:val="0015615E"/>
    <w:rsid w:val="00184021"/>
    <w:rsid w:val="001901D2"/>
    <w:rsid w:val="001941A2"/>
    <w:rsid w:val="001A275C"/>
    <w:rsid w:val="001A5F83"/>
    <w:rsid w:val="001B77A9"/>
    <w:rsid w:val="001C471D"/>
    <w:rsid w:val="001C5E2B"/>
    <w:rsid w:val="00221FDE"/>
    <w:rsid w:val="00225332"/>
    <w:rsid w:val="00225D9A"/>
    <w:rsid w:val="00234F4D"/>
    <w:rsid w:val="00254F23"/>
    <w:rsid w:val="002568F7"/>
    <w:rsid w:val="00277818"/>
    <w:rsid w:val="00282B0D"/>
    <w:rsid w:val="002911BF"/>
    <w:rsid w:val="002A08F4"/>
    <w:rsid w:val="002A1531"/>
    <w:rsid w:val="002B38C4"/>
    <w:rsid w:val="002E1442"/>
    <w:rsid w:val="0030055B"/>
    <w:rsid w:val="0031571B"/>
    <w:rsid w:val="00333A6E"/>
    <w:rsid w:val="003512F7"/>
    <w:rsid w:val="00364812"/>
    <w:rsid w:val="00371B2F"/>
    <w:rsid w:val="00375E14"/>
    <w:rsid w:val="003A1B36"/>
    <w:rsid w:val="003C7115"/>
    <w:rsid w:val="003D3B53"/>
    <w:rsid w:val="003D475D"/>
    <w:rsid w:val="003D756E"/>
    <w:rsid w:val="003D793D"/>
    <w:rsid w:val="003E3524"/>
    <w:rsid w:val="003F553F"/>
    <w:rsid w:val="00412C8D"/>
    <w:rsid w:val="0043355B"/>
    <w:rsid w:val="0043657C"/>
    <w:rsid w:val="004606B8"/>
    <w:rsid w:val="004670E4"/>
    <w:rsid w:val="00474AB6"/>
    <w:rsid w:val="00487D97"/>
    <w:rsid w:val="0049309D"/>
    <w:rsid w:val="004A6FAC"/>
    <w:rsid w:val="004B6721"/>
    <w:rsid w:val="004B7255"/>
    <w:rsid w:val="004D2199"/>
    <w:rsid w:val="004D5E42"/>
    <w:rsid w:val="004D77C2"/>
    <w:rsid w:val="00516D84"/>
    <w:rsid w:val="00520593"/>
    <w:rsid w:val="00520CD6"/>
    <w:rsid w:val="00522EBF"/>
    <w:rsid w:val="00527364"/>
    <w:rsid w:val="005364A3"/>
    <w:rsid w:val="00542117"/>
    <w:rsid w:val="00543A97"/>
    <w:rsid w:val="00556890"/>
    <w:rsid w:val="00564B11"/>
    <w:rsid w:val="00581A79"/>
    <w:rsid w:val="005A1455"/>
    <w:rsid w:val="005A3E81"/>
    <w:rsid w:val="005A57EA"/>
    <w:rsid w:val="005D349A"/>
    <w:rsid w:val="005F3B83"/>
    <w:rsid w:val="00617D01"/>
    <w:rsid w:val="00644D16"/>
    <w:rsid w:val="00670CD9"/>
    <w:rsid w:val="006816DA"/>
    <w:rsid w:val="00681AA8"/>
    <w:rsid w:val="0068569D"/>
    <w:rsid w:val="00687C4D"/>
    <w:rsid w:val="006A14A8"/>
    <w:rsid w:val="006A52D3"/>
    <w:rsid w:val="006A6EB8"/>
    <w:rsid w:val="006B4551"/>
    <w:rsid w:val="006C5522"/>
    <w:rsid w:val="006C7B65"/>
    <w:rsid w:val="006E00B4"/>
    <w:rsid w:val="006E78F9"/>
    <w:rsid w:val="007327B3"/>
    <w:rsid w:val="0073591C"/>
    <w:rsid w:val="007370F1"/>
    <w:rsid w:val="00741E1F"/>
    <w:rsid w:val="007846DC"/>
    <w:rsid w:val="0078689A"/>
    <w:rsid w:val="0080055B"/>
    <w:rsid w:val="008156F8"/>
    <w:rsid w:val="00825D8E"/>
    <w:rsid w:val="00827105"/>
    <w:rsid w:val="00836D91"/>
    <w:rsid w:val="008C2137"/>
    <w:rsid w:val="008D2393"/>
    <w:rsid w:val="008D5C4F"/>
    <w:rsid w:val="008F3E96"/>
    <w:rsid w:val="009047A6"/>
    <w:rsid w:val="00910917"/>
    <w:rsid w:val="0092340C"/>
    <w:rsid w:val="00963EDD"/>
    <w:rsid w:val="009768A4"/>
    <w:rsid w:val="00986910"/>
    <w:rsid w:val="009B4B9F"/>
    <w:rsid w:val="009C0FB0"/>
    <w:rsid w:val="009C5E10"/>
    <w:rsid w:val="009C6D3D"/>
    <w:rsid w:val="009F25B4"/>
    <w:rsid w:val="00A26C0E"/>
    <w:rsid w:val="00A31074"/>
    <w:rsid w:val="00A32F0F"/>
    <w:rsid w:val="00A90E40"/>
    <w:rsid w:val="00A96019"/>
    <w:rsid w:val="00AA4A63"/>
    <w:rsid w:val="00AA7D13"/>
    <w:rsid w:val="00AB1829"/>
    <w:rsid w:val="00AB4EBC"/>
    <w:rsid w:val="00AC13C1"/>
    <w:rsid w:val="00AD3DC8"/>
    <w:rsid w:val="00AF0441"/>
    <w:rsid w:val="00AF06ED"/>
    <w:rsid w:val="00B22010"/>
    <w:rsid w:val="00B4603C"/>
    <w:rsid w:val="00B514BA"/>
    <w:rsid w:val="00B61303"/>
    <w:rsid w:val="00B63306"/>
    <w:rsid w:val="00B64BB4"/>
    <w:rsid w:val="00B827FC"/>
    <w:rsid w:val="00B8430C"/>
    <w:rsid w:val="00B86A81"/>
    <w:rsid w:val="00B96BE5"/>
    <w:rsid w:val="00BB7DEC"/>
    <w:rsid w:val="00BC56F0"/>
    <w:rsid w:val="00BD25FE"/>
    <w:rsid w:val="00BD4716"/>
    <w:rsid w:val="00BE1410"/>
    <w:rsid w:val="00BE27AE"/>
    <w:rsid w:val="00BF74EC"/>
    <w:rsid w:val="00C02A2D"/>
    <w:rsid w:val="00C05F6C"/>
    <w:rsid w:val="00C102EF"/>
    <w:rsid w:val="00C34921"/>
    <w:rsid w:val="00C5400A"/>
    <w:rsid w:val="00C648A3"/>
    <w:rsid w:val="00C67C0F"/>
    <w:rsid w:val="00C72283"/>
    <w:rsid w:val="00C76BF7"/>
    <w:rsid w:val="00C8049D"/>
    <w:rsid w:val="00C91376"/>
    <w:rsid w:val="00C955A7"/>
    <w:rsid w:val="00CA0EBB"/>
    <w:rsid w:val="00CA7DD1"/>
    <w:rsid w:val="00CB3324"/>
    <w:rsid w:val="00CB5872"/>
    <w:rsid w:val="00CC44B2"/>
    <w:rsid w:val="00CD7F99"/>
    <w:rsid w:val="00CE1C50"/>
    <w:rsid w:val="00D0462F"/>
    <w:rsid w:val="00D14082"/>
    <w:rsid w:val="00D347CF"/>
    <w:rsid w:val="00D40075"/>
    <w:rsid w:val="00D52395"/>
    <w:rsid w:val="00D546BC"/>
    <w:rsid w:val="00D61EC6"/>
    <w:rsid w:val="00DA5F8E"/>
    <w:rsid w:val="00DC723E"/>
    <w:rsid w:val="00DD2198"/>
    <w:rsid w:val="00DF0D60"/>
    <w:rsid w:val="00DF7950"/>
    <w:rsid w:val="00E04718"/>
    <w:rsid w:val="00E10E5D"/>
    <w:rsid w:val="00E47697"/>
    <w:rsid w:val="00E47CBC"/>
    <w:rsid w:val="00E53992"/>
    <w:rsid w:val="00E5513A"/>
    <w:rsid w:val="00E73CA8"/>
    <w:rsid w:val="00E75B87"/>
    <w:rsid w:val="00E77334"/>
    <w:rsid w:val="00E86A18"/>
    <w:rsid w:val="00E92262"/>
    <w:rsid w:val="00EB7BBE"/>
    <w:rsid w:val="00EB7D60"/>
    <w:rsid w:val="00ED0081"/>
    <w:rsid w:val="00EE55BF"/>
    <w:rsid w:val="00F3795A"/>
    <w:rsid w:val="00F405F6"/>
    <w:rsid w:val="00F41E34"/>
    <w:rsid w:val="00F81062"/>
    <w:rsid w:val="00F90DD6"/>
    <w:rsid w:val="00FB7E3F"/>
    <w:rsid w:val="00FF7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7BA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ListParagraph"/>
    <w:next w:val="ListParagraph"/>
    <w:link w:val="Heading1Char"/>
    <w:uiPriority w:val="9"/>
    <w:qFormat/>
    <w:rsid w:val="002A08F4"/>
    <w:pPr>
      <w:numPr>
        <w:numId w:val="1"/>
      </w:numPr>
      <w:outlineLvl w:val="0"/>
    </w:pPr>
    <w:rPr>
      <w:b/>
      <w:szCs w:val="24"/>
    </w:rPr>
  </w:style>
  <w:style w:type="paragraph" w:styleId="Heading2">
    <w:name w:val="heading 2"/>
    <w:basedOn w:val="Heading1"/>
    <w:next w:val="Normal"/>
    <w:link w:val="Heading2Char"/>
    <w:qFormat/>
    <w:rsid w:val="002A08F4"/>
    <w:pPr>
      <w:numPr>
        <w:numId w:val="2"/>
      </w:num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189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2A08F4"/>
    <w:rPr>
      <w:rFonts w:ascii="Times New Roman" w:eastAsia="Times New Roman" w:hAnsi="Times New Roman" w:cs="Times New Roman"/>
      <w:b/>
      <w:sz w:val="24"/>
      <w:szCs w:val="24"/>
    </w:rPr>
  </w:style>
  <w:style w:type="paragraph" w:styleId="Header">
    <w:name w:val="header"/>
    <w:basedOn w:val="Normal"/>
    <w:link w:val="HeaderChar"/>
    <w:uiPriority w:val="99"/>
    <w:rsid w:val="00FF7BA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unhideWhenUsed/>
    <w:rsid w:val="00FF7BA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7BA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2A08F4"/>
    <w:pPr>
      <w:ind w:left="720"/>
      <w:contextualSpacing/>
      <w:jc w:val="both"/>
    </w:pPr>
  </w:style>
  <w:style w:type="paragraph" w:styleId="List">
    <w:name w:val="List"/>
    <w:basedOn w:val="Normal"/>
    <w:rsid w:val="00FF7BA7"/>
    <w:pPr>
      <w:ind w:left="360" w:hanging="360"/>
    </w:pPr>
  </w:style>
  <w:style w:type="table" w:styleId="TableGrid">
    <w:name w:val="Table Grid"/>
    <w:basedOn w:val="TableNormal"/>
    <w:uiPriority w:val="59"/>
    <w:rsid w:val="00FF7BA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F7B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7BA7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A08F4"/>
    <w:rPr>
      <w:rFonts w:ascii="Times New Roman" w:eastAsia="Times New Roman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E189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apple-converted-space">
    <w:name w:val="apple-converted-space"/>
    <w:basedOn w:val="DefaultParagraphFont"/>
    <w:rsid w:val="007846DC"/>
  </w:style>
  <w:style w:type="character" w:styleId="Hyperlink">
    <w:name w:val="Hyperlink"/>
    <w:basedOn w:val="DefaultParagraphFont"/>
    <w:uiPriority w:val="99"/>
    <w:semiHidden/>
    <w:unhideWhenUsed/>
    <w:rsid w:val="007846D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846DC"/>
    <w:pPr>
      <w:spacing w:before="100" w:beforeAutospacing="1" w:after="100" w:afterAutospacing="1"/>
    </w:pPr>
    <w:rPr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04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jpeg"/><Relationship Id="rId1" Type="http://schemas.openxmlformats.org/officeDocument/2006/relationships/hyperlink" Target="http://images.google.com/imgres?imgurl=http://www.niowaveinc.com/images/nscl_logo_animated.gif&amp;imgrefurl=http://www.niowaveinc.com/Collaboration.html&amp;usg=__NOdqRlvjfqW0hSfQjrGn96DVnyA=&amp;h=250&amp;w=200&amp;sz=97&amp;hl=en&amp;start=5&amp;um=1&amp;tbnid=8RffAVvCrnXaoM:&amp;tbnh=111&amp;tbnw=89&amp;prev=/images?q=NSCL&amp;hl=en&amp;rls=com.microsoft:en-us&amp;sa=N&amp;um=1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F4E9C732B104282A83A586D8D72C6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9FA3E2-4C41-47E0-97FF-8C3E76B5158D}"/>
      </w:docPartPr>
      <w:docPartBody>
        <w:p w:rsidR="0009735B" w:rsidRDefault="000B07AC" w:rsidP="000B07AC">
          <w:pPr>
            <w:pStyle w:val="AF4E9C732B104282A83A586D8D72C691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0B07AC"/>
    <w:rsid w:val="00085810"/>
    <w:rsid w:val="0009735B"/>
    <w:rsid w:val="000B07AC"/>
    <w:rsid w:val="001D2D36"/>
    <w:rsid w:val="002026A5"/>
    <w:rsid w:val="002741A0"/>
    <w:rsid w:val="00385DF4"/>
    <w:rsid w:val="00482C9A"/>
    <w:rsid w:val="004F013F"/>
    <w:rsid w:val="005C5BB5"/>
    <w:rsid w:val="00620116"/>
    <w:rsid w:val="006660F0"/>
    <w:rsid w:val="007334E3"/>
    <w:rsid w:val="007B2313"/>
    <w:rsid w:val="008C7FD0"/>
    <w:rsid w:val="00A80F29"/>
    <w:rsid w:val="00A8383E"/>
    <w:rsid w:val="00A85AE5"/>
    <w:rsid w:val="00B80F8D"/>
    <w:rsid w:val="00CC1EFB"/>
    <w:rsid w:val="00E53C9C"/>
    <w:rsid w:val="00E87DA6"/>
    <w:rsid w:val="00EF6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3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4E9C732B104282A83A586D8D72C691">
    <w:name w:val="AF4E9C732B104282A83A586D8D72C691"/>
    <w:rsid w:val="000B07AC"/>
  </w:style>
  <w:style w:type="paragraph" w:customStyle="1" w:styleId="990F48A1C91C408093DF6F78F9BFE16F">
    <w:name w:val="990F48A1C91C408093DF6F78F9BFE16F"/>
    <w:rsid w:val="000B07AC"/>
  </w:style>
  <w:style w:type="paragraph" w:customStyle="1" w:styleId="6DD76C91C40644BB9C4E75D3E1B21871">
    <w:name w:val="6DD76C91C40644BB9C4E75D3E1B21871"/>
    <w:rsid w:val="007334E3"/>
  </w:style>
  <w:style w:type="paragraph" w:customStyle="1" w:styleId="66B68AFAFF064F4DB77A4CA2CD7FEF48">
    <w:name w:val="66B68AFAFF064F4DB77A4CA2CD7FEF48"/>
    <w:rsid w:val="007334E3"/>
  </w:style>
  <w:style w:type="paragraph" w:customStyle="1" w:styleId="BF973C750F2A4B6E9158D8F2B48447E3">
    <w:name w:val="BF973C750F2A4B6E9158D8F2B48447E3"/>
    <w:rsid w:val="007334E3"/>
  </w:style>
  <w:style w:type="paragraph" w:customStyle="1" w:styleId="4DFB76AA82AD4F4FBD5D2925776C1D59">
    <w:name w:val="4DFB76AA82AD4F4FBD5D2925776C1D59"/>
    <w:rsid w:val="007334E3"/>
  </w:style>
  <w:style w:type="paragraph" w:customStyle="1" w:styleId="3DFF71E0C76D420FA17A8E8DE11B71E7">
    <w:name w:val="3DFF71E0C76D420FA17A8E8DE11B71E7"/>
    <w:rsid w:val="007334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3847</TotalTime>
  <Pages>2</Pages>
  <Words>440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NSCL/FRIB</Company>
  <LinksUpToDate>false</LinksUpToDate>
  <CharactersWithSpaces>2943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Vuppala, Vasu</dc:creator>
  <cp:lastModifiedBy>vasu</cp:lastModifiedBy>
  <cp:revision>107</cp:revision>
  <dcterms:created xsi:type="dcterms:W3CDTF">2011-02-10T15:36:00Z</dcterms:created>
  <dcterms:modified xsi:type="dcterms:W3CDTF">2011-09-22T18:45:00Z</dcterms:modified>
</cp:coreProperties>
</file>