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0C5CCB" w:rsidP="002A08F4">
      <w:pPr>
        <w:pStyle w:val="ListParagraph"/>
      </w:pPr>
      <w:r>
        <w:t>Argus is the</w:t>
      </w:r>
      <w:r w:rsidRPr="00F05CF4">
        <w:t xml:space="preserve"> Information Securi</w:t>
      </w:r>
      <w:r>
        <w:t>ty Management System (ISMS) used for managing information s</w:t>
      </w:r>
      <w:r w:rsidRPr="00F05CF4">
        <w:t>ecurity risks</w:t>
      </w:r>
      <w:r>
        <w:t xml:space="preserve"> at the Electronics Department of NSCL. </w:t>
      </w:r>
      <w:r w:rsidRPr="00F05CF4">
        <w:t xml:space="preserve">The objective of this </w:t>
      </w:r>
      <w:r>
        <w:t>procedure</w:t>
      </w:r>
      <w:r w:rsidRPr="00F05CF4">
        <w:t xml:space="preserve"> is to </w:t>
      </w:r>
      <w:r>
        <w:t>review the suitability, adequacy, and effectiveness of Argus. The purpose of the procedure is also to assess opportunities for improvements and changes to Argus</w:t>
      </w:r>
      <w:r w:rsidR="00C102EF"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7846DC" w:rsidP="000E189E">
      <w:pPr>
        <w:pStyle w:val="ListParagraph"/>
      </w:pPr>
      <w:r>
        <w:t xml:space="preserve">It is applicable to all </w:t>
      </w:r>
      <w:r w:rsidR="000F24EC">
        <w:t xml:space="preserve">aspects </w:t>
      </w:r>
      <w:r w:rsidR="000C5CCB">
        <w:t>of Argus</w:t>
      </w:r>
      <w:r w:rsidR="000E189E">
        <w:t>.</w:t>
      </w:r>
    </w:p>
    <w:p w:rsidR="0030055B" w:rsidRDefault="0030055B" w:rsidP="002A08F4">
      <w:pPr>
        <w:pStyle w:val="Heading1"/>
      </w:pPr>
      <w:r>
        <w:t>Definitions</w:t>
      </w:r>
    </w:p>
    <w:p w:rsidR="007846DC" w:rsidRPr="007846DC" w:rsidRDefault="00B4603C" w:rsidP="007846DC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 w:rsidR="009F25B4">
        <w:t>.</w:t>
      </w:r>
    </w:p>
    <w:p w:rsidR="007846DC" w:rsidRDefault="007846DC" w:rsidP="002A08F4">
      <w:pPr>
        <w:pStyle w:val="Heading1"/>
      </w:pPr>
      <w:r>
        <w:t>Entry Criteria</w:t>
      </w:r>
    </w:p>
    <w:p w:rsidR="005A3E81" w:rsidRPr="007846DC" w:rsidRDefault="000C5CCB" w:rsidP="005A3E81">
      <w:pPr>
        <w:pStyle w:val="ListParagraph"/>
        <w:numPr>
          <w:ilvl w:val="0"/>
          <w:numId w:val="26"/>
        </w:numPr>
      </w:pPr>
      <w:r>
        <w:t>The periodic review of Argus has to be initiated</w:t>
      </w:r>
      <w:r w:rsidR="005A3E81">
        <w:t xml:space="preserve"> </w:t>
      </w:r>
    </w:p>
    <w:p w:rsidR="007846DC" w:rsidRDefault="007846DC" w:rsidP="002A08F4">
      <w:pPr>
        <w:pStyle w:val="Heading1"/>
      </w:pPr>
      <w:r>
        <w:t>Inputs</w:t>
      </w:r>
    </w:p>
    <w:p w:rsidR="000C5CCB" w:rsidRDefault="000C5CCB" w:rsidP="00AB4EBC">
      <w:pPr>
        <w:pStyle w:val="ListParagraph"/>
        <w:numPr>
          <w:ilvl w:val="0"/>
          <w:numId w:val="24"/>
        </w:numPr>
      </w:pPr>
      <w:r>
        <w:t>Results of audits and review</w:t>
      </w:r>
    </w:p>
    <w:p w:rsidR="000C5CCB" w:rsidRDefault="000C5CCB" w:rsidP="00AB4EBC">
      <w:pPr>
        <w:pStyle w:val="ListParagraph"/>
        <w:numPr>
          <w:ilvl w:val="0"/>
          <w:numId w:val="24"/>
        </w:numPr>
      </w:pPr>
      <w:r>
        <w:t>Feedback from stakeholders</w:t>
      </w:r>
    </w:p>
    <w:p w:rsidR="000C5CCB" w:rsidRDefault="000C5CCB" w:rsidP="00AB4EBC">
      <w:pPr>
        <w:pStyle w:val="ListParagraph"/>
        <w:numPr>
          <w:ilvl w:val="0"/>
          <w:numId w:val="24"/>
        </w:numPr>
      </w:pPr>
      <w:r>
        <w:t>Recommendations for improvements to Argus</w:t>
      </w:r>
    </w:p>
    <w:p w:rsidR="000C5CCB" w:rsidRDefault="000C5CCB" w:rsidP="00AB4EBC">
      <w:pPr>
        <w:pStyle w:val="ListParagraph"/>
        <w:numPr>
          <w:ilvl w:val="0"/>
          <w:numId w:val="24"/>
        </w:numPr>
      </w:pPr>
      <w:r>
        <w:t>Status of corrective and preventive actions</w:t>
      </w:r>
    </w:p>
    <w:p w:rsidR="000C5CCB" w:rsidRDefault="000C5CCB" w:rsidP="00AB4EBC">
      <w:pPr>
        <w:pStyle w:val="ListParagraph"/>
        <w:numPr>
          <w:ilvl w:val="0"/>
          <w:numId w:val="24"/>
        </w:numPr>
      </w:pPr>
      <w:r>
        <w:t>Follow-up actions from previous manage reviews</w:t>
      </w:r>
    </w:p>
    <w:p w:rsidR="005A3E81" w:rsidRPr="007846DC" w:rsidRDefault="000C5CCB" w:rsidP="000C5CCB">
      <w:pPr>
        <w:pStyle w:val="ListParagraph"/>
        <w:numPr>
          <w:ilvl w:val="0"/>
          <w:numId w:val="24"/>
        </w:numPr>
      </w:pPr>
      <w:r>
        <w:t>Proposed changes to Argus</w:t>
      </w:r>
    </w:p>
    <w:p w:rsidR="0030055B" w:rsidRDefault="00412C8D" w:rsidP="002A08F4">
      <w:pPr>
        <w:pStyle w:val="Heading1"/>
      </w:pPr>
      <w:r>
        <w:t>Procedure</w:t>
      </w:r>
    </w:p>
    <w:p w:rsidR="009047A6" w:rsidRPr="009047A6" w:rsidRDefault="009047A6" w:rsidP="009047A6">
      <w:pPr>
        <w:pStyle w:val="ListParagraph"/>
      </w:pPr>
      <w:r>
        <w:t xml:space="preserve"> </w:t>
      </w:r>
      <w:r w:rsidR="00364B11">
        <w:t xml:space="preserve">Management reviews of Argus are performed at least once a year. </w:t>
      </w:r>
    </w:p>
    <w:p w:rsidR="00AB1829" w:rsidRDefault="004D5E42" w:rsidP="00AB1829">
      <w:pPr>
        <w:ind w:left="720"/>
      </w:pPr>
      <w:r>
        <w:br/>
      </w:r>
    </w:p>
    <w:tbl>
      <w:tblPr>
        <w:tblStyle w:val="TableGrid"/>
        <w:tblW w:w="4750" w:type="pct"/>
        <w:tblLook w:val="04A0" w:firstRow="1" w:lastRow="0" w:firstColumn="1" w:lastColumn="0" w:noHBand="0" w:noVBand="1"/>
      </w:tblPr>
      <w:tblGrid>
        <w:gridCol w:w="688"/>
        <w:gridCol w:w="1437"/>
        <w:gridCol w:w="6972"/>
      </w:tblGrid>
      <w:tr w:rsidR="009F25B4" w:rsidTr="003C359C">
        <w:tc>
          <w:tcPr>
            <w:tcW w:w="378" w:type="pct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790" w:type="pct"/>
            <w:hideMark/>
          </w:tcPr>
          <w:p w:rsidR="009F25B4" w:rsidRDefault="000C5CCB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Responsible</w:t>
            </w:r>
          </w:p>
        </w:tc>
        <w:tc>
          <w:tcPr>
            <w:tcW w:w="0" w:type="auto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Action</w:t>
            </w:r>
          </w:p>
        </w:tc>
      </w:tr>
      <w:tr w:rsidR="00527364" w:rsidTr="003D3B53">
        <w:tc>
          <w:tcPr>
            <w:tcW w:w="0" w:type="auto"/>
          </w:tcPr>
          <w:p w:rsidR="00527364" w:rsidRPr="009F25B4" w:rsidRDefault="0052736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527364" w:rsidRDefault="00364B1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EEDH</w:t>
            </w:r>
          </w:p>
        </w:tc>
        <w:tc>
          <w:tcPr>
            <w:tcW w:w="0" w:type="auto"/>
          </w:tcPr>
          <w:p w:rsidR="00527364" w:rsidRPr="00364B11" w:rsidRDefault="00364B11" w:rsidP="0052736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Initiate</w:t>
            </w:r>
            <w:r w:rsidRPr="00364B11">
              <w:rPr>
                <w:rFonts w:ascii="Verdana" w:hAnsi="Verdana"/>
                <w:color w:val="000000"/>
                <w:sz w:val="18"/>
                <w:szCs w:val="18"/>
              </w:rPr>
              <w:t xml:space="preserve"> the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management review. Management reviews must be performed at least once a year.</w:t>
            </w:r>
          </w:p>
        </w:tc>
      </w:tr>
      <w:tr w:rsidR="009F25B4" w:rsidTr="00364B11">
        <w:trPr>
          <w:trHeight w:val="557"/>
        </w:trPr>
        <w:tc>
          <w:tcPr>
            <w:tcW w:w="0" w:type="auto"/>
            <w:hideMark/>
          </w:tcPr>
          <w:p w:rsidR="009F25B4" w:rsidRDefault="00364B1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9F25B4" w:rsidRDefault="00C5400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EEDH</w:t>
            </w:r>
          </w:p>
        </w:tc>
        <w:tc>
          <w:tcPr>
            <w:tcW w:w="0" w:type="auto"/>
            <w:hideMark/>
          </w:tcPr>
          <w:p w:rsidR="00184021" w:rsidRPr="005F3B83" w:rsidRDefault="00364B11" w:rsidP="000F24E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Form the Argus Management Review Team (AMRT)</w:t>
            </w:r>
            <w:r w:rsidR="005A1455" w:rsidRPr="005A1455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ARMT </w:t>
            </w:r>
            <w:r w:rsidR="000F24EC">
              <w:rPr>
                <w:rFonts w:ascii="Verdana" w:hAnsi="Verdana"/>
                <w:color w:val="000000"/>
                <w:sz w:val="18"/>
                <w:szCs w:val="18"/>
              </w:rPr>
              <w:t>should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include members of Information Security Board (ISB)</w:t>
            </w:r>
            <w:r w:rsidR="000F24EC">
              <w:rPr>
                <w:rFonts w:ascii="Verdana" w:hAnsi="Verdana"/>
                <w:color w:val="000000"/>
                <w:sz w:val="18"/>
                <w:szCs w:val="18"/>
              </w:rPr>
              <w:t xml:space="preserve"> and the </w:t>
            </w:r>
            <w:r w:rsidR="000F24EC" w:rsidRPr="000F24EC">
              <w:rPr>
                <w:rFonts w:ascii="Verdana" w:hAnsi="Verdana"/>
                <w:i/>
                <w:color w:val="000000"/>
                <w:sz w:val="18"/>
                <w:szCs w:val="18"/>
                <w:u w:val="single"/>
              </w:rPr>
              <w:t>senior management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364B1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9F25B4" w:rsidRDefault="00C5400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EEDH</w:t>
            </w:r>
          </w:p>
        </w:tc>
        <w:tc>
          <w:tcPr>
            <w:tcW w:w="0" w:type="auto"/>
            <w:hideMark/>
          </w:tcPr>
          <w:p w:rsidR="00184021" w:rsidRPr="00364B11" w:rsidRDefault="00364B11" w:rsidP="00364B1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Select a management representative (MR) to conduct the review.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364B1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9F25B4" w:rsidRDefault="00364B11" w:rsidP="00C8049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MR</w:t>
            </w:r>
          </w:p>
        </w:tc>
        <w:tc>
          <w:tcPr>
            <w:tcW w:w="0" w:type="auto"/>
            <w:hideMark/>
          </w:tcPr>
          <w:p w:rsidR="00184021" w:rsidRPr="00364B11" w:rsidRDefault="00364B11" w:rsidP="00364B1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Schedule the r</w:t>
            </w:r>
            <w:bookmarkStart w:id="0" w:name="_GoBack"/>
            <w:bookmarkEnd w:id="0"/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eview meeting. Collect data (see Input</w:t>
            </w:r>
            <w:r w:rsidR="003C359C">
              <w:rPr>
                <w:rFonts w:ascii="Verdana" w:hAnsi="Verdana"/>
                <w:bCs/>
                <w:color w:val="000000"/>
                <w:sz w:val="18"/>
                <w:szCs w:val="18"/>
              </w:rPr>
              <w:t>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Section above) and provide it to members of AMRT one week before the scheduled meeting.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364B1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9F25B4" w:rsidRDefault="00364B1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MR</w:t>
            </w:r>
          </w:p>
        </w:tc>
        <w:tc>
          <w:tcPr>
            <w:tcW w:w="0" w:type="auto"/>
            <w:hideMark/>
          </w:tcPr>
          <w:p w:rsidR="00364B11" w:rsidRPr="00364B11" w:rsidRDefault="00364B11" w:rsidP="003C359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Prepare agenda for the review meeting. It must include</w:t>
            </w:r>
            <w:r w:rsidR="003C359C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review of the items in the Inputs Section, and evaluation of continuing suitability of the ISMS policy and objectives.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3C359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:rsidR="009F25B4" w:rsidRDefault="003C359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AMRT</w:t>
            </w:r>
          </w:p>
        </w:tc>
        <w:tc>
          <w:tcPr>
            <w:tcW w:w="0" w:type="auto"/>
            <w:hideMark/>
          </w:tcPr>
          <w:p w:rsidR="009F25B4" w:rsidRPr="003C359C" w:rsidRDefault="003C359C" w:rsidP="003C359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Analyze the data, identify and approve improvement opportunities, assign action items, preventive actions and corrective actions as appropriate. </w:t>
            </w:r>
          </w:p>
        </w:tc>
      </w:tr>
      <w:tr w:rsidR="002A1531" w:rsidTr="003D3B53">
        <w:tc>
          <w:tcPr>
            <w:tcW w:w="0" w:type="auto"/>
          </w:tcPr>
          <w:p w:rsidR="002A1531" w:rsidRPr="009F25B4" w:rsidRDefault="003C359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2A1531" w:rsidRDefault="003C359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MR</w:t>
            </w:r>
          </w:p>
        </w:tc>
        <w:tc>
          <w:tcPr>
            <w:tcW w:w="0" w:type="auto"/>
          </w:tcPr>
          <w:p w:rsidR="002A1531" w:rsidRPr="00184021" w:rsidRDefault="003C359C" w:rsidP="003C359C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Record minutes, decisions, actions, milestones, and improvements to Argus.</w:t>
            </w:r>
          </w:p>
        </w:tc>
      </w:tr>
      <w:tr w:rsidR="001901D2" w:rsidTr="003C359C">
        <w:trPr>
          <w:trHeight w:val="692"/>
        </w:trPr>
        <w:tc>
          <w:tcPr>
            <w:tcW w:w="0" w:type="auto"/>
          </w:tcPr>
          <w:p w:rsidR="001901D2" w:rsidRDefault="003C359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</w:tcPr>
          <w:p w:rsidR="001901D2" w:rsidRDefault="00C5400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EEDH</w:t>
            </w:r>
          </w:p>
        </w:tc>
        <w:tc>
          <w:tcPr>
            <w:tcW w:w="0" w:type="auto"/>
          </w:tcPr>
          <w:p w:rsidR="006A6EB8" w:rsidRPr="003C359C" w:rsidRDefault="003C359C" w:rsidP="003C359C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Approve the minutes, the review data and reports. Publish them as a record of the management review.</w:t>
            </w:r>
          </w:p>
        </w:tc>
      </w:tr>
      <w:tr w:rsidR="00333A6E" w:rsidTr="00184021">
        <w:trPr>
          <w:trHeight w:val="359"/>
        </w:trPr>
        <w:tc>
          <w:tcPr>
            <w:tcW w:w="0" w:type="auto"/>
          </w:tcPr>
          <w:p w:rsidR="00333A6E" w:rsidRDefault="00333A6E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:rsidR="00333A6E" w:rsidRDefault="00333A6E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:rsidR="00333A6E" w:rsidRDefault="00333A6E" w:rsidP="00184021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D5E42" w:rsidRDefault="004D5E42" w:rsidP="00AB1829">
      <w:pPr>
        <w:ind w:left="720"/>
      </w:pPr>
    </w:p>
    <w:p w:rsidR="004D5E42" w:rsidRDefault="004D5E42" w:rsidP="00AB1829">
      <w:pPr>
        <w:ind w:left="720"/>
      </w:pPr>
    </w:p>
    <w:p w:rsidR="00AB1829" w:rsidRPr="009768A4" w:rsidRDefault="00AB1829" w:rsidP="00AB1829">
      <w:pPr>
        <w:ind w:left="720"/>
      </w:pPr>
    </w:p>
    <w:p w:rsidR="008F3E96" w:rsidRDefault="008F3E96" w:rsidP="008D5C4F">
      <w:pPr>
        <w:pStyle w:val="Heading1"/>
      </w:pPr>
      <w:r>
        <w:t>Outputs</w:t>
      </w:r>
    </w:p>
    <w:p w:rsidR="00DF7950" w:rsidRDefault="003C359C" w:rsidP="00DF7950">
      <w:pPr>
        <w:pStyle w:val="ListParagraph"/>
        <w:numPr>
          <w:ilvl w:val="0"/>
          <w:numId w:val="24"/>
        </w:numPr>
      </w:pPr>
      <w:r>
        <w:t>Record of management review</w:t>
      </w:r>
      <w:r w:rsidR="009F25B4">
        <w:t xml:space="preserve"> </w:t>
      </w:r>
    </w:p>
    <w:p w:rsidR="008F3E96" w:rsidRDefault="008F3E96" w:rsidP="008D5C4F">
      <w:pPr>
        <w:pStyle w:val="Heading1"/>
      </w:pPr>
      <w:r>
        <w:t>Exit Criteria</w:t>
      </w:r>
    </w:p>
    <w:p w:rsidR="008F3E96" w:rsidRPr="008F3E96" w:rsidRDefault="003C359C" w:rsidP="0003341A">
      <w:pPr>
        <w:pStyle w:val="ListParagraph"/>
        <w:numPr>
          <w:ilvl w:val="0"/>
          <w:numId w:val="24"/>
        </w:numPr>
      </w:pPr>
      <w:r>
        <w:t>Record of management review is approved and published.</w:t>
      </w:r>
    </w:p>
    <w:p w:rsidR="00C955A7" w:rsidRDefault="00C955A7" w:rsidP="008D5C4F">
      <w:pPr>
        <w:pStyle w:val="Heading1"/>
      </w:pPr>
      <w:r w:rsidRPr="008D5C4F">
        <w:t>Exceptions</w:t>
      </w:r>
    </w:p>
    <w:p w:rsidR="002B38C4" w:rsidRPr="002B38C4" w:rsidRDefault="002B38C4" w:rsidP="002B38C4">
      <w:pPr>
        <w:pStyle w:val="ListParagraph"/>
      </w:pPr>
      <w:r>
        <w:t>All exceptions must be approved by the Electronics Department Head.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543A97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P501 </w:t>
      </w:r>
      <w:r w:rsidR="00543A97">
        <w:rPr>
          <w:i/>
        </w:rPr>
        <w:t xml:space="preserve">Information Security </w:t>
      </w:r>
      <w:r w:rsidR="00B96BE5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15615E" w:rsidRDefault="0003341A" w:rsidP="004D5E42">
      <w:pPr>
        <w:pStyle w:val="ListParagraph"/>
        <w:numPr>
          <w:ilvl w:val="1"/>
          <w:numId w:val="1"/>
        </w:numPr>
      </w:pPr>
      <w:r>
        <w:rPr>
          <w:i/>
        </w:rPr>
        <w:t>Asset Risk Profile, R01-Asset-Risk-Profile.xlsx</w:t>
      </w:r>
      <w:r w:rsidR="004D5E42" w:rsidRPr="004D5E42">
        <w:rPr>
          <w:i/>
        </w:rPr>
        <w:t>,</w:t>
      </w:r>
      <w:r w:rsidR="0015615E">
        <w:t xml:space="preserve"> NSCL Document Server, Electronics Folder</w:t>
      </w:r>
    </w:p>
    <w:p w:rsidR="00BF74EC" w:rsidRDefault="0003341A" w:rsidP="004D5E42">
      <w:pPr>
        <w:pStyle w:val="ListParagraph"/>
        <w:numPr>
          <w:ilvl w:val="1"/>
          <w:numId w:val="1"/>
        </w:numPr>
      </w:pPr>
      <w:r>
        <w:rPr>
          <w:i/>
        </w:rPr>
        <w:t>NSCL Quality Policy and Objectives</w:t>
      </w:r>
      <w:r w:rsidR="00BF74EC">
        <w:t xml:space="preserve">,  NSCL Document Server, </w:t>
      </w:r>
      <w:r>
        <w:t>QMS</w:t>
      </w:r>
      <w:r w:rsidR="00BF74EC">
        <w:t xml:space="preserve"> Folder</w:t>
      </w:r>
    </w:p>
    <w:p w:rsidR="00DA5F8E" w:rsidRPr="00110CAB" w:rsidRDefault="00DA5F8E" w:rsidP="00DA5F8E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43F" w:rsidRDefault="0039343F" w:rsidP="00FF7BA7">
      <w:r>
        <w:separator/>
      </w:r>
    </w:p>
  </w:endnote>
  <w:endnote w:type="continuationSeparator" w:id="0">
    <w:p w:rsidR="0039343F" w:rsidRDefault="0039343F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E04718" w:rsidRDefault="00E04718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 w:rsidP="00474AB6">
    <w:pPr>
      <w:rPr>
        <w:sz w:val="20"/>
      </w:rPr>
    </w:pPr>
  </w:p>
  <w:p w:rsidR="00E04718" w:rsidRDefault="0039343F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E04718" w:rsidRDefault="00E04718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0F24EC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0F24EC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E04718" w:rsidRDefault="00E047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rPr>
        <w:sz w:val="20"/>
      </w:rPr>
    </w:pPr>
  </w:p>
  <w:p w:rsidR="00E04718" w:rsidRDefault="0039343F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E04718" w:rsidRDefault="00E04718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0F24EC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0F24EC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E04718" w:rsidRPr="00BB7DEC" w:rsidRDefault="00E04718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43F" w:rsidRDefault="0039343F" w:rsidP="00FF7BA7">
      <w:r>
        <w:separator/>
      </w:r>
    </w:p>
  </w:footnote>
  <w:footnote w:type="continuationSeparator" w:id="0">
    <w:p w:rsidR="0039343F" w:rsidRDefault="0039343F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pStyle w:val="Header"/>
    </w:pPr>
  </w:p>
  <w:p w:rsidR="00E04718" w:rsidRDefault="00E04718">
    <w:pPr>
      <w:pStyle w:val="Header"/>
    </w:pPr>
  </w:p>
  <w:p w:rsidR="00E04718" w:rsidRDefault="00E047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E04718" w:rsidTr="00C955A7">
      <w:trPr>
        <w:cantSplit/>
        <w:trHeight w:val="530"/>
      </w:trPr>
      <w:tc>
        <w:tcPr>
          <w:tcW w:w="2808" w:type="dxa"/>
          <w:vMerge w:val="restart"/>
        </w:tcPr>
        <w:p w:rsidR="00E04718" w:rsidRDefault="00E04718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607682C2" wp14:editId="3D833095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6CEB9161" wp14:editId="24351A7F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E04718" w:rsidRDefault="00E04718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Procedure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</w:p>
        <w:p w:rsidR="000215C9" w:rsidRPr="000215C9" w:rsidRDefault="000203A0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EE-ISMS-W</w:t>
          </w:r>
          <w:r w:rsidR="000C5CCB">
            <w:rPr>
              <w:rFonts w:ascii="Arial" w:hAnsi="Arial" w:cs="Arial"/>
              <w:b/>
              <w:sz w:val="22"/>
              <w:szCs w:val="22"/>
            </w:rPr>
            <w:t>0107</w:t>
          </w:r>
        </w:p>
        <w:p w:rsidR="00E04718" w:rsidRPr="00681C88" w:rsidRDefault="00E04718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E04718" w:rsidRPr="00681C88" w:rsidRDefault="00E04718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E04718" w:rsidRPr="00681C88" w:rsidRDefault="00E04718" w:rsidP="00C955A7">
          <w:pPr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30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Pr="00681C88" w:rsidRDefault="00E04718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E04718" w:rsidRDefault="00E04718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E04718" w:rsidTr="00C955A7">
      <w:trPr>
        <w:cantSplit/>
        <w:trHeight w:val="591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73"/>
      </w:trPr>
      <w:tc>
        <w:tcPr>
          <w:tcW w:w="9918" w:type="dxa"/>
          <w:gridSpan w:val="5"/>
        </w:tcPr>
        <w:p w:rsidR="00E04718" w:rsidRDefault="00E04718" w:rsidP="00C955A7">
          <w:pPr>
            <w:rPr>
              <w:rFonts w:ascii="Arial" w:hAnsi="Arial" w:cs="Arial"/>
              <w:sz w:val="16"/>
            </w:rPr>
          </w:pPr>
        </w:p>
        <w:p w:rsidR="00E04718" w:rsidRDefault="00E04718" w:rsidP="000C5CCB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Procedure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0C5CCB">
            <w:rPr>
              <w:rFonts w:ascii="Arial" w:hAnsi="Arial" w:cs="Arial"/>
              <w:szCs w:val="24"/>
            </w:rPr>
            <w:t>Argus Management Review Procedure</w:t>
          </w:r>
        </w:p>
      </w:tc>
    </w:tr>
  </w:tbl>
  <w:p w:rsidR="00E04718" w:rsidRDefault="00E047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5F46146"/>
    <w:multiLevelType w:val="multilevel"/>
    <w:tmpl w:val="0CF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A2A1F"/>
    <w:multiLevelType w:val="hybridMultilevel"/>
    <w:tmpl w:val="265CF5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2D43E6"/>
    <w:multiLevelType w:val="multilevel"/>
    <w:tmpl w:val="07A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413C9"/>
    <w:multiLevelType w:val="multilevel"/>
    <w:tmpl w:val="78F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0A5D51"/>
    <w:multiLevelType w:val="hybridMultilevel"/>
    <w:tmpl w:val="8600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12359"/>
    <w:multiLevelType w:val="hybridMultilevel"/>
    <w:tmpl w:val="AA645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3249A7"/>
    <w:multiLevelType w:val="hybridMultilevel"/>
    <w:tmpl w:val="A5F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F750D0"/>
    <w:multiLevelType w:val="hybridMultilevel"/>
    <w:tmpl w:val="E28E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4">
    <w:nsid w:val="39664B08"/>
    <w:multiLevelType w:val="hybridMultilevel"/>
    <w:tmpl w:val="86AE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4440C"/>
    <w:multiLevelType w:val="hybridMultilevel"/>
    <w:tmpl w:val="74288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7A4EFD"/>
    <w:multiLevelType w:val="hybridMultilevel"/>
    <w:tmpl w:val="24E8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3114E"/>
    <w:multiLevelType w:val="hybridMultilevel"/>
    <w:tmpl w:val="23AC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68459D"/>
    <w:multiLevelType w:val="hybridMultilevel"/>
    <w:tmpl w:val="D8A8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8D41FC"/>
    <w:multiLevelType w:val="multilevel"/>
    <w:tmpl w:val="464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2">
    <w:nsid w:val="5A8864E8"/>
    <w:multiLevelType w:val="hybridMultilevel"/>
    <w:tmpl w:val="C78C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8F7E59"/>
    <w:multiLevelType w:val="hybridMultilevel"/>
    <w:tmpl w:val="CBEE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FF5"/>
    <w:multiLevelType w:val="multilevel"/>
    <w:tmpl w:val="2F6CAC5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5">
    <w:nsid w:val="66620F46"/>
    <w:multiLevelType w:val="hybridMultilevel"/>
    <w:tmpl w:val="314CA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82C245A"/>
    <w:multiLevelType w:val="multilevel"/>
    <w:tmpl w:val="9AB20E3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7">
    <w:nsid w:val="6CF53949"/>
    <w:multiLevelType w:val="hybridMultilevel"/>
    <w:tmpl w:val="E77AF7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DF52832"/>
    <w:multiLevelType w:val="hybridMultilevel"/>
    <w:tmpl w:val="7470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C4A22"/>
    <w:multiLevelType w:val="multilevel"/>
    <w:tmpl w:val="8D5EE78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0">
    <w:nsid w:val="764A4327"/>
    <w:multiLevelType w:val="multilevel"/>
    <w:tmpl w:val="FA8A07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1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3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31"/>
  </w:num>
  <w:num w:numId="3">
    <w:abstractNumId w:val="0"/>
  </w:num>
  <w:num w:numId="4">
    <w:abstractNumId w:val="19"/>
  </w:num>
  <w:num w:numId="5">
    <w:abstractNumId w:val="8"/>
  </w:num>
  <w:num w:numId="6">
    <w:abstractNumId w:val="21"/>
  </w:num>
  <w:num w:numId="7">
    <w:abstractNumId w:val="33"/>
  </w:num>
  <w:num w:numId="8">
    <w:abstractNumId w:val="1"/>
  </w:num>
  <w:num w:numId="9">
    <w:abstractNumId w:val="7"/>
  </w:num>
  <w:num w:numId="10">
    <w:abstractNumId w:val="13"/>
  </w:num>
  <w:num w:numId="11">
    <w:abstractNumId w:val="32"/>
  </w:num>
  <w:num w:numId="12">
    <w:abstractNumId w:val="25"/>
  </w:num>
  <w:num w:numId="13">
    <w:abstractNumId w:val="27"/>
  </w:num>
  <w:num w:numId="14">
    <w:abstractNumId w:val="30"/>
  </w:num>
  <w:num w:numId="15">
    <w:abstractNumId w:val="29"/>
  </w:num>
  <w:num w:numId="16">
    <w:abstractNumId w:val="24"/>
  </w:num>
  <w:num w:numId="17">
    <w:abstractNumId w:val="26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3"/>
  </w:num>
  <w:num w:numId="22">
    <w:abstractNumId w:val="5"/>
  </w:num>
  <w:num w:numId="23">
    <w:abstractNumId w:val="23"/>
  </w:num>
  <w:num w:numId="24">
    <w:abstractNumId w:val="15"/>
  </w:num>
  <w:num w:numId="25">
    <w:abstractNumId w:val="20"/>
  </w:num>
  <w:num w:numId="26">
    <w:abstractNumId w:val="10"/>
  </w:num>
  <w:num w:numId="27">
    <w:abstractNumId w:val="18"/>
  </w:num>
  <w:num w:numId="28">
    <w:abstractNumId w:val="22"/>
  </w:num>
  <w:num w:numId="29">
    <w:abstractNumId w:val="14"/>
  </w:num>
  <w:num w:numId="30">
    <w:abstractNumId w:val="12"/>
  </w:num>
  <w:num w:numId="31">
    <w:abstractNumId w:val="11"/>
  </w:num>
  <w:num w:numId="32">
    <w:abstractNumId w:val="28"/>
  </w:num>
  <w:num w:numId="33">
    <w:abstractNumId w:val="17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1597C"/>
    <w:rsid w:val="00015E6B"/>
    <w:rsid w:val="000203A0"/>
    <w:rsid w:val="000215C9"/>
    <w:rsid w:val="00025528"/>
    <w:rsid w:val="00033060"/>
    <w:rsid w:val="0003341A"/>
    <w:rsid w:val="0003348F"/>
    <w:rsid w:val="00037482"/>
    <w:rsid w:val="000447B5"/>
    <w:rsid w:val="0004764B"/>
    <w:rsid w:val="00051662"/>
    <w:rsid w:val="00075FEB"/>
    <w:rsid w:val="00076D19"/>
    <w:rsid w:val="00081690"/>
    <w:rsid w:val="000B381A"/>
    <w:rsid w:val="000C3B62"/>
    <w:rsid w:val="000C5CCB"/>
    <w:rsid w:val="000E189E"/>
    <w:rsid w:val="000E287E"/>
    <w:rsid w:val="000E656A"/>
    <w:rsid w:val="000F24EC"/>
    <w:rsid w:val="00110CAB"/>
    <w:rsid w:val="001178E5"/>
    <w:rsid w:val="00130314"/>
    <w:rsid w:val="00130E99"/>
    <w:rsid w:val="00144856"/>
    <w:rsid w:val="00153601"/>
    <w:rsid w:val="0015615E"/>
    <w:rsid w:val="00184021"/>
    <w:rsid w:val="001901D2"/>
    <w:rsid w:val="001A275C"/>
    <w:rsid w:val="001A5F83"/>
    <w:rsid w:val="001B77A9"/>
    <w:rsid w:val="001C471D"/>
    <w:rsid w:val="001C5E2B"/>
    <w:rsid w:val="00221FDE"/>
    <w:rsid w:val="00225332"/>
    <w:rsid w:val="00225D9A"/>
    <w:rsid w:val="00234F4D"/>
    <w:rsid w:val="002568F7"/>
    <w:rsid w:val="00277818"/>
    <w:rsid w:val="00282B0D"/>
    <w:rsid w:val="002911BF"/>
    <w:rsid w:val="002A08F4"/>
    <w:rsid w:val="002A1531"/>
    <w:rsid w:val="002B38C4"/>
    <w:rsid w:val="002E1442"/>
    <w:rsid w:val="0030055B"/>
    <w:rsid w:val="0031571B"/>
    <w:rsid w:val="00333A6E"/>
    <w:rsid w:val="003512F7"/>
    <w:rsid w:val="00364812"/>
    <w:rsid w:val="00364B11"/>
    <w:rsid w:val="00371B2F"/>
    <w:rsid w:val="00375E14"/>
    <w:rsid w:val="0039343F"/>
    <w:rsid w:val="003C359C"/>
    <w:rsid w:val="003C7115"/>
    <w:rsid w:val="003D3B53"/>
    <w:rsid w:val="003D475D"/>
    <w:rsid w:val="003D793D"/>
    <w:rsid w:val="003E3524"/>
    <w:rsid w:val="003F553F"/>
    <w:rsid w:val="00412C8D"/>
    <w:rsid w:val="0043657C"/>
    <w:rsid w:val="004606B8"/>
    <w:rsid w:val="004670E4"/>
    <w:rsid w:val="00474AB6"/>
    <w:rsid w:val="00487D97"/>
    <w:rsid w:val="004A6FAC"/>
    <w:rsid w:val="004B6721"/>
    <w:rsid w:val="004B7255"/>
    <w:rsid w:val="004D2199"/>
    <w:rsid w:val="004D5E42"/>
    <w:rsid w:val="004D77C2"/>
    <w:rsid w:val="00516D84"/>
    <w:rsid w:val="00520593"/>
    <w:rsid w:val="00520CD6"/>
    <w:rsid w:val="00522EBF"/>
    <w:rsid w:val="00527364"/>
    <w:rsid w:val="00542117"/>
    <w:rsid w:val="00543A97"/>
    <w:rsid w:val="00556890"/>
    <w:rsid w:val="00564B11"/>
    <w:rsid w:val="00581A79"/>
    <w:rsid w:val="005A1455"/>
    <w:rsid w:val="005A3E81"/>
    <w:rsid w:val="005D349A"/>
    <w:rsid w:val="005F3B83"/>
    <w:rsid w:val="00617D01"/>
    <w:rsid w:val="00644D16"/>
    <w:rsid w:val="00670CD9"/>
    <w:rsid w:val="006816DA"/>
    <w:rsid w:val="0068569D"/>
    <w:rsid w:val="00687C4D"/>
    <w:rsid w:val="006A52D3"/>
    <w:rsid w:val="006A6EB8"/>
    <w:rsid w:val="006B4551"/>
    <w:rsid w:val="006C5522"/>
    <w:rsid w:val="006C7B65"/>
    <w:rsid w:val="006E00B4"/>
    <w:rsid w:val="006E78F9"/>
    <w:rsid w:val="00723DF4"/>
    <w:rsid w:val="007327B3"/>
    <w:rsid w:val="0073591C"/>
    <w:rsid w:val="007370F1"/>
    <w:rsid w:val="00741E1F"/>
    <w:rsid w:val="007846DC"/>
    <w:rsid w:val="0078689A"/>
    <w:rsid w:val="0080055B"/>
    <w:rsid w:val="008156F8"/>
    <w:rsid w:val="00825D8E"/>
    <w:rsid w:val="00827105"/>
    <w:rsid w:val="00836D91"/>
    <w:rsid w:val="008C2137"/>
    <w:rsid w:val="008D2393"/>
    <w:rsid w:val="008D5C4F"/>
    <w:rsid w:val="008F3E96"/>
    <w:rsid w:val="009047A6"/>
    <w:rsid w:val="00910917"/>
    <w:rsid w:val="0092340C"/>
    <w:rsid w:val="00963EDD"/>
    <w:rsid w:val="009768A4"/>
    <w:rsid w:val="00986910"/>
    <w:rsid w:val="009B4B9F"/>
    <w:rsid w:val="009C0FB0"/>
    <w:rsid w:val="009C5E10"/>
    <w:rsid w:val="009C6D3D"/>
    <w:rsid w:val="009F25B4"/>
    <w:rsid w:val="00A26C0E"/>
    <w:rsid w:val="00A31074"/>
    <w:rsid w:val="00A32F0F"/>
    <w:rsid w:val="00A90E40"/>
    <w:rsid w:val="00A96019"/>
    <w:rsid w:val="00AA4A63"/>
    <w:rsid w:val="00AA7D13"/>
    <w:rsid w:val="00AB1829"/>
    <w:rsid w:val="00AB4EBC"/>
    <w:rsid w:val="00AC13C1"/>
    <w:rsid w:val="00AD3DC8"/>
    <w:rsid w:val="00AF0441"/>
    <w:rsid w:val="00AF06ED"/>
    <w:rsid w:val="00B22010"/>
    <w:rsid w:val="00B4603C"/>
    <w:rsid w:val="00B514BA"/>
    <w:rsid w:val="00B61303"/>
    <w:rsid w:val="00B63306"/>
    <w:rsid w:val="00B64BB4"/>
    <w:rsid w:val="00B827FC"/>
    <w:rsid w:val="00B8430C"/>
    <w:rsid w:val="00B86A81"/>
    <w:rsid w:val="00B96BE5"/>
    <w:rsid w:val="00BB7DEC"/>
    <w:rsid w:val="00BC56F0"/>
    <w:rsid w:val="00BD25FE"/>
    <w:rsid w:val="00BD4716"/>
    <w:rsid w:val="00BE1410"/>
    <w:rsid w:val="00BE27AE"/>
    <w:rsid w:val="00BF74EC"/>
    <w:rsid w:val="00C02A2D"/>
    <w:rsid w:val="00C05F6C"/>
    <w:rsid w:val="00C102EF"/>
    <w:rsid w:val="00C34921"/>
    <w:rsid w:val="00C5400A"/>
    <w:rsid w:val="00C648A3"/>
    <w:rsid w:val="00C67C0F"/>
    <w:rsid w:val="00C72283"/>
    <w:rsid w:val="00C76BF7"/>
    <w:rsid w:val="00C8049D"/>
    <w:rsid w:val="00C91376"/>
    <w:rsid w:val="00C955A7"/>
    <w:rsid w:val="00CA0EBB"/>
    <w:rsid w:val="00CA7DD1"/>
    <w:rsid w:val="00CB3324"/>
    <w:rsid w:val="00CB5872"/>
    <w:rsid w:val="00CC44B2"/>
    <w:rsid w:val="00CD7F99"/>
    <w:rsid w:val="00CE1C50"/>
    <w:rsid w:val="00D0462F"/>
    <w:rsid w:val="00D14082"/>
    <w:rsid w:val="00D347CF"/>
    <w:rsid w:val="00D40075"/>
    <w:rsid w:val="00D52395"/>
    <w:rsid w:val="00D546BC"/>
    <w:rsid w:val="00D61EC6"/>
    <w:rsid w:val="00DA5F8E"/>
    <w:rsid w:val="00DC723E"/>
    <w:rsid w:val="00DD2198"/>
    <w:rsid w:val="00DF0D60"/>
    <w:rsid w:val="00DF7950"/>
    <w:rsid w:val="00E04718"/>
    <w:rsid w:val="00E10E5D"/>
    <w:rsid w:val="00E47697"/>
    <w:rsid w:val="00E47CBC"/>
    <w:rsid w:val="00E53992"/>
    <w:rsid w:val="00E5513A"/>
    <w:rsid w:val="00E73CA8"/>
    <w:rsid w:val="00E75B87"/>
    <w:rsid w:val="00E77334"/>
    <w:rsid w:val="00E86A18"/>
    <w:rsid w:val="00E92262"/>
    <w:rsid w:val="00EB7BBE"/>
    <w:rsid w:val="00EB7D60"/>
    <w:rsid w:val="00ED0081"/>
    <w:rsid w:val="00EE55BF"/>
    <w:rsid w:val="00F3795A"/>
    <w:rsid w:val="00F405F6"/>
    <w:rsid w:val="00F41E34"/>
    <w:rsid w:val="00F81062"/>
    <w:rsid w:val="00F90DD6"/>
    <w:rsid w:val="00FB7E3F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apple-converted-space">
    <w:name w:val="apple-converted-space"/>
    <w:basedOn w:val="DefaultParagraphFont"/>
    <w:rsid w:val="007846DC"/>
  </w:style>
  <w:style w:type="character" w:styleId="Hyperlink">
    <w:name w:val="Hyperlink"/>
    <w:basedOn w:val="DefaultParagraphFont"/>
    <w:uiPriority w:val="99"/>
    <w:semiHidden/>
    <w:unhideWhenUsed/>
    <w:rsid w:val="007846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46DC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85810"/>
    <w:rsid w:val="0009735B"/>
    <w:rsid w:val="000B07AC"/>
    <w:rsid w:val="001D2D36"/>
    <w:rsid w:val="002026A5"/>
    <w:rsid w:val="002741A0"/>
    <w:rsid w:val="00385DF4"/>
    <w:rsid w:val="004F013F"/>
    <w:rsid w:val="00517FA9"/>
    <w:rsid w:val="005651A2"/>
    <w:rsid w:val="005C5BB5"/>
    <w:rsid w:val="00620116"/>
    <w:rsid w:val="006660F0"/>
    <w:rsid w:val="007334E3"/>
    <w:rsid w:val="007B2313"/>
    <w:rsid w:val="00A80F29"/>
    <w:rsid w:val="00A8383E"/>
    <w:rsid w:val="00A85AE5"/>
    <w:rsid w:val="00B80F8D"/>
    <w:rsid w:val="00CC1EFB"/>
    <w:rsid w:val="00E53C9C"/>
    <w:rsid w:val="00E87DA6"/>
    <w:rsid w:val="00E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104</cp:revision>
  <dcterms:created xsi:type="dcterms:W3CDTF">2011-02-10T15:36:00Z</dcterms:created>
  <dcterms:modified xsi:type="dcterms:W3CDTF">2011-09-26T16:59:00Z</dcterms:modified>
</cp:coreProperties>
</file>