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C1731F" w:rsidP="002A08F4">
      <w:pPr>
        <w:pStyle w:val="ListParagraph"/>
      </w:pPr>
      <w:r w:rsidRPr="00C1731F">
        <w:t>The purpose of this procedure is to monitor the progress of the project, report it to the stakeholders, and take corrective actions if required</w:t>
      </w:r>
      <w:proofErr w:type="gramStart"/>
      <w:r w:rsidRPr="00C1731F">
        <w:t>.</w:t>
      </w:r>
      <w:r w:rsidR="00C102EF">
        <w:t>.</w:t>
      </w:r>
      <w:proofErr w:type="gramEnd"/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 xml:space="preserve">It is applicable to all users </w:t>
      </w:r>
      <w:r w:rsidR="009F25B4">
        <w:t>of</w:t>
      </w:r>
      <w:r>
        <w:t xml:space="preserve"> the Electronics Department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53584C" w:rsidRDefault="0053584C" w:rsidP="0053584C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 xml:space="preserve">. </w:t>
      </w:r>
    </w:p>
    <w:p w:rsidR="0053584C" w:rsidRDefault="0053584C" w:rsidP="0053584C">
      <w:pPr>
        <w:pStyle w:val="ListParagraph"/>
      </w:pPr>
    </w:p>
    <w:p w:rsidR="007846DC" w:rsidRPr="007846DC" w:rsidRDefault="0053584C" w:rsidP="0053584C">
      <w:pPr>
        <w:pStyle w:val="ListParagraph"/>
      </w:pPr>
      <w:r>
        <w:t xml:space="preserve">For software development related roles and acronyms, refer to </w:t>
      </w:r>
      <w:r>
        <w:rPr>
          <w:i/>
        </w:rPr>
        <w:t>W12</w:t>
      </w:r>
      <w:r w:rsidRPr="0015615E">
        <w:rPr>
          <w:i/>
        </w:rPr>
        <w:t xml:space="preserve">01 </w:t>
      </w:r>
      <w:r>
        <w:rPr>
          <w:i/>
        </w:rPr>
        <w:t>Software Development Roles and Responsibilities</w:t>
      </w:r>
      <w:bookmarkStart w:id="0" w:name="_GoBack"/>
      <w:bookmarkEnd w:id="0"/>
      <w:r w:rsidR="009F25B4">
        <w:t>.</w:t>
      </w:r>
    </w:p>
    <w:p w:rsidR="007846DC" w:rsidRDefault="007846DC" w:rsidP="002A08F4">
      <w:pPr>
        <w:pStyle w:val="Heading1"/>
      </w:pPr>
      <w:r>
        <w:t>Entry Criteria</w:t>
      </w:r>
    </w:p>
    <w:p w:rsidR="007846DC" w:rsidRPr="007846DC" w:rsidRDefault="00C1731F" w:rsidP="007846DC">
      <w:pPr>
        <w:pStyle w:val="ListParagraph"/>
      </w:pPr>
      <w:r w:rsidRPr="00C1731F">
        <w:t>The project has been initiated. The starting point is flexible; the procedure can start any</w:t>
      </w:r>
      <w:r>
        <w:t xml:space="preserve"> </w:t>
      </w:r>
      <w:r w:rsidRPr="00C1731F">
        <w:t>time after the project has started but it has to start by the time Execute Project procedure commences</w:t>
      </w:r>
      <w:r w:rsidR="007846DC">
        <w:t>.</w:t>
      </w:r>
    </w:p>
    <w:p w:rsidR="007846DC" w:rsidRDefault="007846DC" w:rsidP="002A08F4">
      <w:pPr>
        <w:pStyle w:val="Heading1"/>
      </w:pPr>
      <w:r>
        <w:t>Inputs</w:t>
      </w:r>
    </w:p>
    <w:p w:rsidR="007846DC" w:rsidRPr="007846DC" w:rsidRDefault="007A1755" w:rsidP="007A1755">
      <w:pPr>
        <w:pStyle w:val="ListParagraph"/>
        <w:numPr>
          <w:ilvl w:val="0"/>
          <w:numId w:val="24"/>
        </w:numPr>
      </w:pPr>
      <w:r w:rsidRPr="007A1755">
        <w:t>The Project Plan</w:t>
      </w:r>
      <w:r w:rsidR="00CE080B" w:rsidRPr="00CE080B">
        <w:t>.</w:t>
      </w:r>
    </w:p>
    <w:p w:rsidR="0030055B" w:rsidRDefault="00412C8D" w:rsidP="002A08F4">
      <w:pPr>
        <w:pStyle w:val="Heading1"/>
      </w:pPr>
      <w:r>
        <w:t>Procedure</w:t>
      </w:r>
    </w:p>
    <w:p w:rsidR="007A1755" w:rsidRPr="007A1755" w:rsidRDefault="007A1755" w:rsidP="007A1755">
      <w:pPr>
        <w:pStyle w:val="ListParagraph"/>
      </w:pPr>
    </w:p>
    <w:p w:rsidR="007A1755" w:rsidRDefault="00C1731F" w:rsidP="00B3018F">
      <w:r>
        <w:rPr>
          <w:noProof/>
        </w:rPr>
        <w:drawing>
          <wp:inline distT="0" distB="0" distL="0" distR="0">
            <wp:extent cx="5943600" cy="223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-mn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1F" w:rsidRDefault="00C1731F" w:rsidP="00B3018F"/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6"/>
        <w:gridCol w:w="826"/>
        <w:gridCol w:w="7603"/>
      </w:tblGrid>
      <w:tr w:rsidR="00C1731F" w:rsidTr="00C1731F">
        <w:trPr>
          <w:tblCellSpacing w:w="0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C1731F" w:rsidRDefault="00C1731F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C1731F" w:rsidRDefault="00C1731F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C1731F" w:rsidRDefault="00C1731F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Periodically execute the following steps.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Review project's progress.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If the project is complete then stop. If the project is terminated, without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completion, initiate the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 w:rsidRPr="00C1731F">
              <w:rPr>
                <w:rFonts w:ascii="Verdana" w:hAnsi="Verdana"/>
                <w:color w:val="000000"/>
                <w:sz w:val="18"/>
                <w:szCs w:val="18"/>
              </w:rPr>
              <w:t>Close Project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procedure.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Collect performance data, and measure the project's performance. Use the </w:t>
            </w:r>
            <w:r w:rsidRPr="00C1731F">
              <w:rPr>
                <w:rFonts w:ascii="Verdana" w:hAnsi="Verdana"/>
                <w:color w:val="000000"/>
                <w:sz w:val="18"/>
                <w:szCs w:val="18"/>
              </w:rPr>
              <w:t>Earned Value Management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(EVM) methodology for performance measurement.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If any part of the work was performed by a supplier, review the status of the work. The periodicity of the supplier review may be different from that of the current (Monitor and Control) procedure.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Reevaluate the risks identified (in Project Plan). 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check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the risk factors have changed.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Perform quality control. Measure and analyze the deliverables against the quality metrics. Check if the results are within the control limits.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Develop the Performance Report based on the output from previous steps. Distribute PR to the stakeholders, and discuss it with the Customer.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PL,PC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Depending on the results from previous steps, take corrective actions.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PL,PC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Document the lessons learned. The lessons will eventually become part of the Project Closure Report.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PL,PC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Refine the Product Development Life Cycle (PDLC) parameters.</w:t>
            </w:r>
          </w:p>
        </w:tc>
      </w:tr>
      <w:tr w:rsidR="00C1731F" w:rsidTr="00C1731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PL,PC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C1731F" w:rsidRDefault="00C1731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Does the project require a change, in its scope, schedule, budget, or any other aspect? If so, create a Change Request, and follow the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 w:rsidRPr="00C1731F">
              <w:rPr>
                <w:rFonts w:ascii="Verdana" w:hAnsi="Verdana"/>
                <w:color w:val="000000"/>
                <w:sz w:val="18"/>
                <w:szCs w:val="18"/>
              </w:rPr>
              <w:t>Change Control procedure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</w:tbl>
    <w:p w:rsidR="00C1731F" w:rsidRDefault="00C1731F" w:rsidP="00B3018F"/>
    <w:p w:rsidR="00AB1829" w:rsidRPr="009768A4" w:rsidRDefault="00AB1829" w:rsidP="00CE080B"/>
    <w:p w:rsidR="008F3E96" w:rsidRDefault="008F3E96" w:rsidP="008D5C4F">
      <w:pPr>
        <w:pStyle w:val="Heading1"/>
      </w:pPr>
      <w:r>
        <w:t>Outputs</w:t>
      </w:r>
    </w:p>
    <w:p w:rsidR="00C1731F" w:rsidRDefault="00C1731F" w:rsidP="00C1731F">
      <w:pPr>
        <w:pStyle w:val="ListParagraph"/>
        <w:numPr>
          <w:ilvl w:val="0"/>
          <w:numId w:val="24"/>
        </w:numPr>
      </w:pPr>
      <w:r>
        <w:t>Project Performance Report</w:t>
      </w:r>
    </w:p>
    <w:p w:rsidR="009F25B4" w:rsidRPr="009F25B4" w:rsidRDefault="00C1731F" w:rsidP="00C1731F">
      <w:pPr>
        <w:pStyle w:val="ListParagraph"/>
        <w:numPr>
          <w:ilvl w:val="0"/>
          <w:numId w:val="24"/>
        </w:numPr>
      </w:pPr>
      <w:r>
        <w:t>Change Requests</w:t>
      </w:r>
    </w:p>
    <w:p w:rsidR="008F3E96" w:rsidRDefault="008F3E96" w:rsidP="008D5C4F">
      <w:pPr>
        <w:pStyle w:val="Heading1"/>
      </w:pPr>
      <w:r>
        <w:t>Exit Criteria</w:t>
      </w:r>
    </w:p>
    <w:p w:rsidR="008F3E96" w:rsidRPr="008F3E96" w:rsidRDefault="00C1731F" w:rsidP="008F3E96">
      <w:pPr>
        <w:pStyle w:val="ListParagraph"/>
      </w:pPr>
      <w:r w:rsidRPr="00C1731F">
        <w:t>Project has been closed; either it is complete or terminated. The end point is flexible; the procedure may stop before the project has closed but it cannot end before the Execute Project procedure has finished</w:t>
      </w:r>
      <w:r w:rsidR="008F3E96">
        <w:t>.</w:t>
      </w:r>
    </w:p>
    <w:p w:rsidR="00C955A7" w:rsidRDefault="00C955A7" w:rsidP="008D5C4F">
      <w:pPr>
        <w:pStyle w:val="Heading1"/>
      </w:pPr>
      <w:r w:rsidRPr="008D5C4F">
        <w:t>Exceptions</w:t>
      </w:r>
    </w:p>
    <w:p w:rsidR="002B38C4" w:rsidRPr="002B38C4" w:rsidRDefault="002B38C4" w:rsidP="002B38C4">
      <w:pPr>
        <w:pStyle w:val="ListParagraph"/>
      </w:pPr>
      <w:r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P501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15615E" w:rsidRDefault="004D5E42" w:rsidP="004D5E42">
      <w:pPr>
        <w:pStyle w:val="ListParagraph"/>
        <w:numPr>
          <w:ilvl w:val="1"/>
          <w:numId w:val="1"/>
        </w:numPr>
      </w:pPr>
      <w:r>
        <w:rPr>
          <w:i/>
        </w:rPr>
        <w:t>P12</w:t>
      </w:r>
      <w:r w:rsidR="0015615E" w:rsidRPr="0015615E">
        <w:rPr>
          <w:i/>
        </w:rPr>
        <w:t xml:space="preserve">01 </w:t>
      </w:r>
      <w:r w:rsidRPr="004D5E42">
        <w:rPr>
          <w:i/>
        </w:rPr>
        <w:t>Information Systems Acquisition, Development, and Maintenance Policy</w:t>
      </w:r>
      <w:r w:rsidR="0015615E">
        <w:t>,  NSCL Document Server, Electronics Folder</w:t>
      </w:r>
    </w:p>
    <w:p w:rsidR="00BF74EC" w:rsidRDefault="00BF74EC" w:rsidP="004D5E42">
      <w:pPr>
        <w:pStyle w:val="ListParagraph"/>
        <w:numPr>
          <w:ilvl w:val="1"/>
          <w:numId w:val="1"/>
        </w:numPr>
      </w:pPr>
      <w:r>
        <w:rPr>
          <w:i/>
        </w:rPr>
        <w:t>W12</w:t>
      </w:r>
      <w:r w:rsidRPr="0015615E">
        <w:rPr>
          <w:i/>
        </w:rPr>
        <w:t xml:space="preserve">01 </w:t>
      </w:r>
      <w:r>
        <w:rPr>
          <w:i/>
        </w:rPr>
        <w:t>Software Development Roles and Responsibilities</w:t>
      </w:r>
      <w:r>
        <w:t>,  NSCL Document Server, Electronics Folder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lastRenderedPageBreak/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C17" w:rsidRDefault="00BA0C17" w:rsidP="00FF7BA7">
      <w:r>
        <w:separator/>
      </w:r>
    </w:p>
  </w:endnote>
  <w:endnote w:type="continuationSeparator" w:id="0">
    <w:p w:rsidR="00BA0C17" w:rsidRDefault="00BA0C17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BA0C17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53584C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53584C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BA0C17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53584C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53584C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C17" w:rsidRDefault="00BA0C17" w:rsidP="00FF7BA7">
      <w:r>
        <w:separator/>
      </w:r>
    </w:p>
  </w:footnote>
  <w:footnote w:type="continuationSeparator" w:id="0">
    <w:p w:rsidR="00BA0C17" w:rsidRDefault="00BA0C17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7BACFB16" wp14:editId="362986BC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7222AAFE" wp14:editId="3706C42A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Default="00E04718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0203A0" w:rsidRPr="00681C88" w:rsidRDefault="000203A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</w:t>
          </w:r>
          <w:r w:rsidR="009F25B4">
            <w:rPr>
              <w:rFonts w:ascii="Arial" w:hAnsi="Arial" w:cs="Arial"/>
              <w:b/>
              <w:sz w:val="22"/>
              <w:szCs w:val="22"/>
            </w:rPr>
            <w:t>120</w:t>
          </w:r>
          <w:r w:rsidR="00C1731F">
            <w:rPr>
              <w:rFonts w:ascii="Arial" w:hAnsi="Arial" w:cs="Arial"/>
              <w:b/>
              <w:sz w:val="22"/>
              <w:szCs w:val="22"/>
            </w:rPr>
            <w:t>6</w:t>
          </w:r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04718" w:rsidP="00C1731F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C1731F">
            <w:rPr>
              <w:rFonts w:ascii="Arial" w:hAnsi="Arial" w:cs="Arial"/>
              <w:szCs w:val="24"/>
            </w:rPr>
            <w:t>Monitor and Control</w:t>
          </w:r>
          <w:r w:rsidR="009F25B4">
            <w:rPr>
              <w:rFonts w:ascii="Arial" w:hAnsi="Arial" w:cs="Arial"/>
              <w:szCs w:val="24"/>
            </w:rPr>
            <w:t xml:space="preserve"> Project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3AB4440C"/>
    <w:multiLevelType w:val="hybridMultilevel"/>
    <w:tmpl w:val="98B6E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8D41FC"/>
    <w:multiLevelType w:val="multilevel"/>
    <w:tmpl w:val="464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14">
    <w:nsid w:val="5D8F7E59"/>
    <w:multiLevelType w:val="hybridMultilevel"/>
    <w:tmpl w:val="CBE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6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8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0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1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3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21"/>
  </w:num>
  <w:num w:numId="3">
    <w:abstractNumId w:val="0"/>
  </w:num>
  <w:num w:numId="4">
    <w:abstractNumId w:val="11"/>
  </w:num>
  <w:num w:numId="5">
    <w:abstractNumId w:val="8"/>
  </w:num>
  <w:num w:numId="6">
    <w:abstractNumId w:val="13"/>
  </w:num>
  <w:num w:numId="7">
    <w:abstractNumId w:val="23"/>
  </w:num>
  <w:num w:numId="8">
    <w:abstractNumId w:val="1"/>
  </w:num>
  <w:num w:numId="9">
    <w:abstractNumId w:val="7"/>
  </w:num>
  <w:num w:numId="10">
    <w:abstractNumId w:val="9"/>
  </w:num>
  <w:num w:numId="11">
    <w:abstractNumId w:val="22"/>
  </w:num>
  <w:num w:numId="12">
    <w:abstractNumId w:val="16"/>
  </w:num>
  <w:num w:numId="13">
    <w:abstractNumId w:val="18"/>
  </w:num>
  <w:num w:numId="14">
    <w:abstractNumId w:val="20"/>
  </w:num>
  <w:num w:numId="15">
    <w:abstractNumId w:val="19"/>
  </w:num>
  <w:num w:numId="16">
    <w:abstractNumId w:val="15"/>
  </w:num>
  <w:num w:numId="17">
    <w:abstractNumId w:val="17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5"/>
  </w:num>
  <w:num w:numId="23">
    <w:abstractNumId w:val="14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03A0"/>
    <w:rsid w:val="00025528"/>
    <w:rsid w:val="00033060"/>
    <w:rsid w:val="0003348F"/>
    <w:rsid w:val="00037482"/>
    <w:rsid w:val="00053A8F"/>
    <w:rsid w:val="000544A4"/>
    <w:rsid w:val="000B381A"/>
    <w:rsid w:val="000C3B62"/>
    <w:rsid w:val="000E189E"/>
    <w:rsid w:val="000E287E"/>
    <w:rsid w:val="00110CAB"/>
    <w:rsid w:val="00144856"/>
    <w:rsid w:val="0015615E"/>
    <w:rsid w:val="001A5F83"/>
    <w:rsid w:val="001B77A9"/>
    <w:rsid w:val="001C5E2B"/>
    <w:rsid w:val="00277818"/>
    <w:rsid w:val="00282B0D"/>
    <w:rsid w:val="002A08F4"/>
    <w:rsid w:val="002B38C4"/>
    <w:rsid w:val="002E1442"/>
    <w:rsid w:val="002E4D1A"/>
    <w:rsid w:val="0030055B"/>
    <w:rsid w:val="00371B2F"/>
    <w:rsid w:val="00375E14"/>
    <w:rsid w:val="003B3F4E"/>
    <w:rsid w:val="003C7115"/>
    <w:rsid w:val="003D475D"/>
    <w:rsid w:val="003E3524"/>
    <w:rsid w:val="00412C8D"/>
    <w:rsid w:val="0043657C"/>
    <w:rsid w:val="004606B8"/>
    <w:rsid w:val="004670E4"/>
    <w:rsid w:val="00474AB6"/>
    <w:rsid w:val="00487D97"/>
    <w:rsid w:val="004D5E42"/>
    <w:rsid w:val="00520CD6"/>
    <w:rsid w:val="0053584C"/>
    <w:rsid w:val="00542117"/>
    <w:rsid w:val="00543A97"/>
    <w:rsid w:val="00556890"/>
    <w:rsid w:val="00580E9A"/>
    <w:rsid w:val="00617D01"/>
    <w:rsid w:val="00670CD9"/>
    <w:rsid w:val="0068569D"/>
    <w:rsid w:val="006E78F9"/>
    <w:rsid w:val="007327B3"/>
    <w:rsid w:val="0073591C"/>
    <w:rsid w:val="007370F1"/>
    <w:rsid w:val="007846DC"/>
    <w:rsid w:val="0078689A"/>
    <w:rsid w:val="007A1755"/>
    <w:rsid w:val="0080055B"/>
    <w:rsid w:val="008156F8"/>
    <w:rsid w:val="00825D8E"/>
    <w:rsid w:val="008C2137"/>
    <w:rsid w:val="008D5C4F"/>
    <w:rsid w:val="008F3E96"/>
    <w:rsid w:val="00910917"/>
    <w:rsid w:val="00963EDD"/>
    <w:rsid w:val="009768A4"/>
    <w:rsid w:val="009B4B9F"/>
    <w:rsid w:val="009F25B4"/>
    <w:rsid w:val="00A90E40"/>
    <w:rsid w:val="00AA4A63"/>
    <w:rsid w:val="00AB1829"/>
    <w:rsid w:val="00AD3DC8"/>
    <w:rsid w:val="00AF06ED"/>
    <w:rsid w:val="00B22010"/>
    <w:rsid w:val="00B3018F"/>
    <w:rsid w:val="00B514BA"/>
    <w:rsid w:val="00B61303"/>
    <w:rsid w:val="00B827FC"/>
    <w:rsid w:val="00B8430C"/>
    <w:rsid w:val="00B86A81"/>
    <w:rsid w:val="00B96BE5"/>
    <w:rsid w:val="00BA0C17"/>
    <w:rsid w:val="00BB7DEC"/>
    <w:rsid w:val="00BC56F0"/>
    <w:rsid w:val="00BD25FE"/>
    <w:rsid w:val="00BD4716"/>
    <w:rsid w:val="00BE1410"/>
    <w:rsid w:val="00BF74EC"/>
    <w:rsid w:val="00C02A2D"/>
    <w:rsid w:val="00C102EF"/>
    <w:rsid w:val="00C1731F"/>
    <w:rsid w:val="00C34921"/>
    <w:rsid w:val="00C648A3"/>
    <w:rsid w:val="00C72283"/>
    <w:rsid w:val="00C76BF7"/>
    <w:rsid w:val="00C955A7"/>
    <w:rsid w:val="00CA7DD1"/>
    <w:rsid w:val="00CC44B2"/>
    <w:rsid w:val="00CD7F99"/>
    <w:rsid w:val="00CE080B"/>
    <w:rsid w:val="00CE1C50"/>
    <w:rsid w:val="00CE6928"/>
    <w:rsid w:val="00D0462F"/>
    <w:rsid w:val="00D14082"/>
    <w:rsid w:val="00D40075"/>
    <w:rsid w:val="00D52395"/>
    <w:rsid w:val="00D546BC"/>
    <w:rsid w:val="00DA5F8E"/>
    <w:rsid w:val="00DD2198"/>
    <w:rsid w:val="00E04718"/>
    <w:rsid w:val="00E10E5D"/>
    <w:rsid w:val="00E47697"/>
    <w:rsid w:val="00E53992"/>
    <w:rsid w:val="00E73CA8"/>
    <w:rsid w:val="00E75B87"/>
    <w:rsid w:val="00E77334"/>
    <w:rsid w:val="00E86A18"/>
    <w:rsid w:val="00E92262"/>
    <w:rsid w:val="00EB7D60"/>
    <w:rsid w:val="00F3795A"/>
    <w:rsid w:val="00F405F6"/>
    <w:rsid w:val="00F41E34"/>
    <w:rsid w:val="00F81062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D2D36"/>
    <w:rsid w:val="002026A5"/>
    <w:rsid w:val="002741A0"/>
    <w:rsid w:val="00275ED1"/>
    <w:rsid w:val="00291B8F"/>
    <w:rsid w:val="003D502C"/>
    <w:rsid w:val="004F013F"/>
    <w:rsid w:val="00620116"/>
    <w:rsid w:val="007334E3"/>
    <w:rsid w:val="00A80F29"/>
    <w:rsid w:val="00A8383E"/>
    <w:rsid w:val="00B80F8D"/>
    <w:rsid w:val="00D27073"/>
    <w:rsid w:val="00DA431D"/>
    <w:rsid w:val="00EF6F1F"/>
    <w:rsid w:val="00F6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44</cp:revision>
  <dcterms:created xsi:type="dcterms:W3CDTF">2011-02-10T15:36:00Z</dcterms:created>
  <dcterms:modified xsi:type="dcterms:W3CDTF">2012-01-17T10:44:00Z</dcterms:modified>
</cp:coreProperties>
</file>