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7846DC" w:rsidP="002A08F4">
      <w:pPr>
        <w:pStyle w:val="ListParagraph"/>
      </w:pPr>
      <w:r w:rsidRPr="007846DC">
        <w:t xml:space="preserve">The purpose of this procedure is to </w:t>
      </w:r>
      <w:r w:rsidR="000E16CB">
        <w:t xml:space="preserve">prepare for events that severely disrupt </w:t>
      </w:r>
      <w:r w:rsidR="00160E7F">
        <w:t>business processes of the Electronics Department due to failure of the access to critical information assets of causing interruptions to</w:t>
      </w:r>
      <w:r w:rsidR="000E16CB">
        <w:t xml:space="preserve"> business processes of </w:t>
      </w:r>
      <w:r w:rsidR="00076D19">
        <w:t xml:space="preserve">the </w:t>
      </w:r>
      <w:r w:rsidR="00160E7F">
        <w:t>d</w:t>
      </w:r>
      <w:r w:rsidR="00076D19">
        <w:t>epartment</w:t>
      </w:r>
      <w:r w:rsidR="00C102EF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</w:t>
      </w:r>
      <w:r w:rsidR="000E16CB">
        <w:t>relevant</w:t>
      </w:r>
      <w:r>
        <w:t xml:space="preserve"> to </w:t>
      </w:r>
      <w:r w:rsidR="000E16CB">
        <w:t>all the critical activities of</w:t>
      </w:r>
      <w:r>
        <w:t xml:space="preserve">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7846DC" w:rsidRPr="007846DC" w:rsidRDefault="00B94B6E" w:rsidP="007846DC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9F25B4">
        <w:t>.</w:t>
      </w:r>
    </w:p>
    <w:p w:rsidR="007846DC" w:rsidRDefault="007846DC" w:rsidP="002A08F4">
      <w:pPr>
        <w:pStyle w:val="Heading1"/>
      </w:pPr>
      <w:r>
        <w:t>Entry Criteria</w:t>
      </w:r>
    </w:p>
    <w:p w:rsidR="005A3E81" w:rsidRPr="007846DC" w:rsidRDefault="00714DDF" w:rsidP="00A275C8">
      <w:pPr>
        <w:pStyle w:val="ListParagraph"/>
        <w:numPr>
          <w:ilvl w:val="0"/>
          <w:numId w:val="26"/>
        </w:numPr>
      </w:pPr>
      <w:r>
        <w:t xml:space="preserve">This procedure </w:t>
      </w:r>
      <w:r w:rsidR="00A275C8">
        <w:t>is executed once</w:t>
      </w:r>
      <w:r>
        <w:t xml:space="preserve"> during the initial phase of establishing the Business Continuity Management System</w:t>
      </w:r>
      <w:r w:rsidR="00A275C8">
        <w:t xml:space="preserve"> (BCMS)</w:t>
      </w:r>
      <w:r>
        <w:t>.</w:t>
      </w:r>
      <w:r w:rsidR="00A275C8">
        <w:t xml:space="preserve"> After that, it is executed periodically, during the review of the BCMS.</w:t>
      </w:r>
      <w:bookmarkStart w:id="0" w:name="_GoBack"/>
      <w:bookmarkEnd w:id="0"/>
    </w:p>
    <w:p w:rsidR="007846DC" w:rsidRDefault="007846DC" w:rsidP="002A08F4">
      <w:pPr>
        <w:pStyle w:val="Heading1"/>
      </w:pPr>
      <w:r>
        <w:t>Inputs</w:t>
      </w:r>
    </w:p>
    <w:p w:rsidR="00A275C8" w:rsidRDefault="00A275C8" w:rsidP="009F25B4">
      <w:pPr>
        <w:pStyle w:val="ListParagraph"/>
        <w:numPr>
          <w:ilvl w:val="0"/>
          <w:numId w:val="24"/>
        </w:numPr>
      </w:pPr>
      <w:r>
        <w:t>Information Assets of the department</w:t>
      </w:r>
    </w:p>
    <w:p w:rsidR="007846DC" w:rsidRDefault="00A275C8" w:rsidP="009F25B4">
      <w:pPr>
        <w:pStyle w:val="ListParagraph"/>
        <w:numPr>
          <w:ilvl w:val="0"/>
          <w:numId w:val="24"/>
        </w:numPr>
      </w:pPr>
      <w:r>
        <w:t>Critical Business Processes of the department</w:t>
      </w:r>
    </w:p>
    <w:p w:rsidR="005A3E81" w:rsidRPr="007846DC" w:rsidRDefault="005A3E81" w:rsidP="00A275C8">
      <w:pPr>
        <w:pStyle w:val="ListParagraph"/>
        <w:ind w:left="1080"/>
      </w:pPr>
    </w:p>
    <w:p w:rsidR="0030055B" w:rsidRDefault="00412C8D" w:rsidP="002A08F4">
      <w:pPr>
        <w:pStyle w:val="Heading1"/>
      </w:pPr>
      <w:r>
        <w:t>Procedure</w:t>
      </w:r>
    </w:p>
    <w:p w:rsidR="00421244" w:rsidRDefault="00421244" w:rsidP="009047A6">
      <w:pPr>
        <w:pStyle w:val="ListParagraph"/>
      </w:pPr>
      <w:r>
        <w:t>RAT: Risk Assessment Team</w:t>
      </w:r>
    </w:p>
    <w:p w:rsidR="009047A6" w:rsidRPr="009047A6" w:rsidRDefault="00421244" w:rsidP="009047A6">
      <w:pPr>
        <w:pStyle w:val="ListParagraph"/>
      </w:pPr>
      <w:r>
        <w:t>BCTM: Business Continuity Management Team</w:t>
      </w:r>
      <w:r w:rsidR="009047A6">
        <w:t xml:space="preserve"> </w:t>
      </w:r>
    </w:p>
    <w:p w:rsidR="00AB1829" w:rsidRDefault="004D5E42" w:rsidP="00AB1829">
      <w:pPr>
        <w:ind w:left="720"/>
      </w:pPr>
      <w:r>
        <w:br/>
      </w:r>
    </w:p>
    <w:tbl>
      <w:tblPr>
        <w:tblStyle w:val="TableGrid"/>
        <w:tblW w:w="4750" w:type="pct"/>
        <w:tblLook w:val="04A0" w:firstRow="1" w:lastRow="0" w:firstColumn="1" w:lastColumn="0" w:noHBand="0" w:noVBand="1"/>
      </w:tblPr>
      <w:tblGrid>
        <w:gridCol w:w="672"/>
        <w:gridCol w:w="830"/>
        <w:gridCol w:w="7595"/>
      </w:tblGrid>
      <w:tr w:rsidR="009F25B4" w:rsidTr="003D3B53">
        <w:tc>
          <w:tcPr>
            <w:tcW w:w="250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500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9F25B4" w:rsidRDefault="00C2595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BCMT</w:t>
            </w:r>
          </w:p>
        </w:tc>
        <w:tc>
          <w:tcPr>
            <w:tcW w:w="0" w:type="auto"/>
            <w:hideMark/>
          </w:tcPr>
          <w:p w:rsidR="005F3B83" w:rsidRPr="00A275C8" w:rsidRDefault="00A275C8" w:rsidP="00A275C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Identify and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evaluate risks from disasters based on the risk assessment methodology described in </w:t>
            </w:r>
            <w:r w:rsidRPr="00A275C8">
              <w:rPr>
                <w:rFonts w:ascii="Verdana" w:hAnsi="Verdana"/>
                <w:i/>
                <w:color w:val="000000"/>
                <w:sz w:val="18"/>
                <w:szCs w:val="18"/>
              </w:rPr>
              <w:t>EE-ISMS-W0401-Risk-Assessment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  <w:tr w:rsidR="00240E96" w:rsidTr="003D3B53">
        <w:tc>
          <w:tcPr>
            <w:tcW w:w="0" w:type="auto"/>
          </w:tcPr>
          <w:p w:rsidR="00240E96" w:rsidRPr="009F25B4" w:rsidRDefault="00240E96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240E96" w:rsidRDefault="00240E9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BCMT</w:t>
            </w:r>
          </w:p>
        </w:tc>
        <w:tc>
          <w:tcPr>
            <w:tcW w:w="0" w:type="auto"/>
          </w:tcPr>
          <w:p w:rsidR="00240E96" w:rsidRDefault="00240E96" w:rsidP="00C87BF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Develop controls to mitigate the identified risks.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9F25B4" w:rsidRDefault="0042124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BCMT</w:t>
            </w:r>
          </w:p>
        </w:tc>
        <w:tc>
          <w:tcPr>
            <w:tcW w:w="0" w:type="auto"/>
            <w:hideMark/>
          </w:tcPr>
          <w:p w:rsidR="00AC13C1" w:rsidRPr="00A275C8" w:rsidRDefault="00A275C8" w:rsidP="00C87BF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Identify the members of </w:t>
            </w:r>
            <w:r w:rsidR="00421244">
              <w:rPr>
                <w:rFonts w:ascii="Verdana" w:hAnsi="Verdana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Emergency Response Team </w:t>
            </w:r>
            <w:r w:rsidR="00421244">
              <w:rPr>
                <w:rFonts w:ascii="Verdana" w:hAnsi="Verdana"/>
                <w:color w:val="000000"/>
                <w:sz w:val="18"/>
                <w:szCs w:val="18"/>
              </w:rPr>
              <w:t>and their roles.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9F25B4" w:rsidRDefault="00421244" w:rsidP="00C804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BCMT</w:t>
            </w:r>
          </w:p>
        </w:tc>
        <w:tc>
          <w:tcPr>
            <w:tcW w:w="0" w:type="auto"/>
            <w:hideMark/>
          </w:tcPr>
          <w:p w:rsidR="009F25B4" w:rsidRDefault="00421244" w:rsidP="0042124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Identify the members of the Disaster Recovery Team and their roles.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9F25B4" w:rsidRDefault="00057EF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BCMT</w:t>
            </w:r>
          </w:p>
        </w:tc>
        <w:tc>
          <w:tcPr>
            <w:tcW w:w="0" w:type="auto"/>
            <w:hideMark/>
          </w:tcPr>
          <w:p w:rsidR="0004764B" w:rsidRDefault="00C2595D" w:rsidP="0098691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Establish backup strategy.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9F25B4" w:rsidRDefault="00C2595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BCMT</w:t>
            </w:r>
          </w:p>
        </w:tc>
        <w:tc>
          <w:tcPr>
            <w:tcW w:w="0" w:type="auto"/>
            <w:hideMark/>
          </w:tcPr>
          <w:p w:rsidR="009F25B4" w:rsidRPr="004D77C2" w:rsidRDefault="00C2595D" w:rsidP="00C2595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Develop Emergency Response Procedure.</w:t>
            </w:r>
          </w:p>
        </w:tc>
      </w:tr>
      <w:tr w:rsidR="002A1531" w:rsidTr="003D3B53">
        <w:tc>
          <w:tcPr>
            <w:tcW w:w="0" w:type="auto"/>
          </w:tcPr>
          <w:p w:rsidR="002A1531" w:rsidRPr="009F25B4" w:rsidRDefault="002A153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2A1531" w:rsidRDefault="00C2595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BCMT</w:t>
            </w:r>
          </w:p>
        </w:tc>
        <w:tc>
          <w:tcPr>
            <w:tcW w:w="0" w:type="auto"/>
          </w:tcPr>
          <w:p w:rsidR="002A1531" w:rsidRPr="00C2595D" w:rsidRDefault="002A1531" w:rsidP="00C2595D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  <w:tr w:rsidR="001901D2" w:rsidTr="003D3B53">
        <w:trPr>
          <w:trHeight w:val="2265"/>
        </w:trPr>
        <w:tc>
          <w:tcPr>
            <w:tcW w:w="0" w:type="auto"/>
          </w:tcPr>
          <w:p w:rsidR="001901D2" w:rsidRDefault="001901D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1901D2" w:rsidRDefault="001901D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6A6EB8" w:rsidRPr="003F553F" w:rsidRDefault="006A6EB8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  <w:tr w:rsidR="005D349A" w:rsidTr="003D3B53">
        <w:trPr>
          <w:trHeight w:val="2265"/>
        </w:trPr>
        <w:tc>
          <w:tcPr>
            <w:tcW w:w="0" w:type="auto"/>
          </w:tcPr>
          <w:p w:rsidR="005D349A" w:rsidRDefault="005D349A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5D349A" w:rsidRDefault="005D349A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ED0081" w:rsidRPr="00E5513A" w:rsidRDefault="00ED0081" w:rsidP="00ED0081">
            <w:pPr>
              <w:pStyle w:val="ListParagraph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</w:tbl>
    <w:p w:rsidR="004D5E42" w:rsidRDefault="004D5E42" w:rsidP="00AB1829">
      <w:pPr>
        <w:ind w:left="720"/>
      </w:pPr>
    </w:p>
    <w:p w:rsidR="004D5E42" w:rsidRDefault="004D5E42" w:rsidP="00AB1829">
      <w:pPr>
        <w:ind w:left="720"/>
      </w:pPr>
    </w:p>
    <w:p w:rsidR="00AB1829" w:rsidRPr="009768A4" w:rsidRDefault="00AB1829" w:rsidP="00AB1829">
      <w:pPr>
        <w:ind w:left="720"/>
      </w:pPr>
    </w:p>
    <w:p w:rsidR="008F3E96" w:rsidRDefault="008F3E96" w:rsidP="008D5C4F">
      <w:pPr>
        <w:pStyle w:val="Heading1"/>
      </w:pPr>
      <w:r>
        <w:t>Outputs</w:t>
      </w:r>
    </w:p>
    <w:p w:rsidR="00240E96" w:rsidRDefault="00240E96" w:rsidP="00DF7950">
      <w:pPr>
        <w:pStyle w:val="ListParagraph"/>
        <w:numPr>
          <w:ilvl w:val="0"/>
          <w:numId w:val="24"/>
        </w:numPr>
      </w:pPr>
      <w:r>
        <w:t>Risk Assessment and Controls</w:t>
      </w:r>
    </w:p>
    <w:p w:rsidR="00240E96" w:rsidRDefault="00240E96" w:rsidP="00DF7950">
      <w:pPr>
        <w:pStyle w:val="ListParagraph"/>
        <w:numPr>
          <w:ilvl w:val="0"/>
          <w:numId w:val="24"/>
        </w:numPr>
      </w:pPr>
      <w:r>
        <w:t xml:space="preserve">Emergency Response Team’s members and their roles </w:t>
      </w:r>
    </w:p>
    <w:p w:rsidR="00DF7950" w:rsidRDefault="00240E96" w:rsidP="00DF7950">
      <w:pPr>
        <w:pStyle w:val="ListParagraph"/>
        <w:numPr>
          <w:ilvl w:val="0"/>
          <w:numId w:val="24"/>
        </w:numPr>
      </w:pPr>
      <w:r>
        <w:t>Disaster Recovery Team’s members and their roles</w:t>
      </w:r>
    </w:p>
    <w:p w:rsidR="00240E96" w:rsidRDefault="00240E96" w:rsidP="00DF7950">
      <w:pPr>
        <w:pStyle w:val="ListParagraph"/>
        <w:numPr>
          <w:ilvl w:val="0"/>
          <w:numId w:val="24"/>
        </w:numPr>
      </w:pPr>
      <w:r>
        <w:t>Backup strategy for critical information assets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240E96" w:rsidP="0003341A">
      <w:pPr>
        <w:pStyle w:val="ListParagraph"/>
        <w:numPr>
          <w:ilvl w:val="0"/>
          <w:numId w:val="24"/>
        </w:numPr>
      </w:pPr>
      <w:r>
        <w:t>????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Asset Risk Profile, R01-Asset-Risk-Profile.xlsx</w:t>
      </w:r>
      <w:r w:rsidR="004D5E42" w:rsidRPr="004D5E42">
        <w:rPr>
          <w:i/>
        </w:rPr>
        <w:t>,</w:t>
      </w:r>
      <w:r w:rsidR="0015615E">
        <w:t xml:space="preserve"> NSCL Document Server, Electronics Folder</w:t>
      </w:r>
    </w:p>
    <w:p w:rsidR="00BF74EC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NSCL Quality Policy and Objectives</w:t>
      </w:r>
      <w:r w:rsidR="00BF74EC">
        <w:t xml:space="preserve">,  NSCL Document Server, </w:t>
      </w:r>
      <w:r>
        <w:t>QMS</w:t>
      </w:r>
      <w:r w:rsidR="00BF74EC">
        <w:t xml:space="preserve">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434" w:rsidRDefault="006A7434" w:rsidP="00FF7BA7">
      <w:r>
        <w:separator/>
      </w:r>
    </w:p>
  </w:endnote>
  <w:endnote w:type="continuationSeparator" w:id="0">
    <w:p w:rsidR="006A7434" w:rsidRDefault="006A7434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160E7F" w:rsidRDefault="00160E7F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7F" w:rsidRDefault="00160E7F" w:rsidP="00474AB6">
    <w:pPr>
      <w:rPr>
        <w:sz w:val="20"/>
      </w:rPr>
    </w:pPr>
  </w:p>
  <w:p w:rsidR="00160E7F" w:rsidRDefault="006A7434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160E7F" w:rsidRDefault="00160E7F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EA3776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EA3776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160E7F" w:rsidRDefault="00160E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7F" w:rsidRDefault="00160E7F">
    <w:pPr>
      <w:rPr>
        <w:sz w:val="20"/>
      </w:rPr>
    </w:pPr>
  </w:p>
  <w:p w:rsidR="00160E7F" w:rsidRDefault="006A7434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160E7F" w:rsidRDefault="00160E7F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EA3776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EA3776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160E7F" w:rsidRPr="00BB7DEC" w:rsidRDefault="00160E7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434" w:rsidRDefault="006A7434" w:rsidP="00FF7BA7">
      <w:r>
        <w:separator/>
      </w:r>
    </w:p>
  </w:footnote>
  <w:footnote w:type="continuationSeparator" w:id="0">
    <w:p w:rsidR="006A7434" w:rsidRDefault="006A7434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7F" w:rsidRDefault="00160E7F">
    <w:pPr>
      <w:pStyle w:val="Header"/>
    </w:pPr>
  </w:p>
  <w:p w:rsidR="00160E7F" w:rsidRDefault="00160E7F">
    <w:pPr>
      <w:pStyle w:val="Header"/>
    </w:pPr>
  </w:p>
  <w:p w:rsidR="00160E7F" w:rsidRDefault="00160E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160E7F" w:rsidTr="00C955A7">
      <w:trPr>
        <w:cantSplit/>
        <w:trHeight w:val="530"/>
      </w:trPr>
      <w:tc>
        <w:tcPr>
          <w:tcW w:w="2808" w:type="dxa"/>
          <w:vMerge w:val="restart"/>
        </w:tcPr>
        <w:p w:rsidR="00160E7F" w:rsidRDefault="00160E7F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BEFEC2A" wp14:editId="6E43FCAB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1411E3D" wp14:editId="7A31D636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160E7F" w:rsidRDefault="00160E7F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160E7F" w:rsidRPr="00681C88" w:rsidRDefault="00160E7F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EE-ISMS-W1401</w:t>
          </w:r>
        </w:p>
        <w:p w:rsidR="00160E7F" w:rsidRPr="00681C88" w:rsidRDefault="00160E7F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160E7F" w:rsidRPr="00681C88" w:rsidRDefault="00160E7F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160E7F" w:rsidRPr="00681C88" w:rsidRDefault="00160E7F" w:rsidP="00C955A7">
          <w:pPr>
            <w:rPr>
              <w:rFonts w:ascii="Arial" w:hAnsi="Arial" w:cs="Arial"/>
              <w:szCs w:val="22"/>
            </w:rPr>
          </w:pPr>
        </w:p>
      </w:tc>
    </w:tr>
    <w:tr w:rsidR="00160E7F" w:rsidTr="00C955A7">
      <w:trPr>
        <w:cantSplit/>
        <w:trHeight w:val="530"/>
      </w:trPr>
      <w:tc>
        <w:tcPr>
          <w:tcW w:w="2808" w:type="dxa"/>
          <w:vMerge/>
        </w:tcPr>
        <w:p w:rsidR="00160E7F" w:rsidRDefault="00160E7F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160E7F" w:rsidRPr="00681C88" w:rsidRDefault="00160E7F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160E7F" w:rsidRPr="0030055B" w:rsidRDefault="00160E7F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160E7F" w:rsidRDefault="00160E7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160E7F" w:rsidRDefault="00160E7F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160E7F" w:rsidRDefault="00160E7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160E7F" w:rsidRPr="0030055B" w:rsidRDefault="00160E7F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160E7F" w:rsidTr="00C955A7">
      <w:trPr>
        <w:cantSplit/>
        <w:trHeight w:val="591"/>
      </w:trPr>
      <w:tc>
        <w:tcPr>
          <w:tcW w:w="2808" w:type="dxa"/>
          <w:vMerge/>
        </w:tcPr>
        <w:p w:rsidR="00160E7F" w:rsidRDefault="00160E7F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160E7F" w:rsidRDefault="00160E7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160E7F" w:rsidRPr="0030055B" w:rsidRDefault="00160E7F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160E7F" w:rsidTr="00C955A7">
      <w:trPr>
        <w:cantSplit/>
        <w:trHeight w:val="573"/>
      </w:trPr>
      <w:tc>
        <w:tcPr>
          <w:tcW w:w="9918" w:type="dxa"/>
          <w:gridSpan w:val="5"/>
        </w:tcPr>
        <w:p w:rsidR="00160E7F" w:rsidRDefault="00160E7F" w:rsidP="00C955A7">
          <w:pPr>
            <w:rPr>
              <w:rFonts w:ascii="Arial" w:hAnsi="Arial" w:cs="Arial"/>
              <w:sz w:val="16"/>
            </w:rPr>
          </w:pPr>
        </w:p>
        <w:p w:rsidR="00160E7F" w:rsidRDefault="00160E7F" w:rsidP="000E16C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Business Continuity Plan</w:t>
          </w:r>
        </w:p>
      </w:tc>
    </w:tr>
  </w:tbl>
  <w:p w:rsidR="00160E7F" w:rsidRDefault="00160E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12359"/>
    <w:multiLevelType w:val="hybridMultilevel"/>
    <w:tmpl w:val="AA645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249A7"/>
    <w:multiLevelType w:val="hybridMultilevel"/>
    <w:tmpl w:val="A5F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50D0"/>
    <w:multiLevelType w:val="hybridMultilevel"/>
    <w:tmpl w:val="E28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3">
    <w:nsid w:val="39664B08"/>
    <w:multiLevelType w:val="hybridMultilevel"/>
    <w:tmpl w:val="86A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4440C"/>
    <w:multiLevelType w:val="hybridMultilevel"/>
    <w:tmpl w:val="74288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7A4EFD"/>
    <w:multiLevelType w:val="hybridMultilevel"/>
    <w:tmpl w:val="24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3114E"/>
    <w:multiLevelType w:val="hybridMultilevel"/>
    <w:tmpl w:val="23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8459D"/>
    <w:multiLevelType w:val="hybridMultilevel"/>
    <w:tmpl w:val="D8A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1">
    <w:nsid w:val="5A8864E8"/>
    <w:multiLevelType w:val="hybridMultilevel"/>
    <w:tmpl w:val="C78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4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6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F52832"/>
    <w:multiLevelType w:val="hybridMultilevel"/>
    <w:tmpl w:val="747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9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30"/>
  </w:num>
  <w:num w:numId="3">
    <w:abstractNumId w:val="0"/>
  </w:num>
  <w:num w:numId="4">
    <w:abstractNumId w:val="18"/>
  </w:num>
  <w:num w:numId="5">
    <w:abstractNumId w:val="8"/>
  </w:num>
  <w:num w:numId="6">
    <w:abstractNumId w:val="20"/>
  </w:num>
  <w:num w:numId="7">
    <w:abstractNumId w:val="32"/>
  </w:num>
  <w:num w:numId="8">
    <w:abstractNumId w:val="1"/>
  </w:num>
  <w:num w:numId="9">
    <w:abstractNumId w:val="7"/>
  </w:num>
  <w:num w:numId="10">
    <w:abstractNumId w:val="12"/>
  </w:num>
  <w:num w:numId="11">
    <w:abstractNumId w:val="31"/>
  </w:num>
  <w:num w:numId="12">
    <w:abstractNumId w:val="24"/>
  </w:num>
  <w:num w:numId="13">
    <w:abstractNumId w:val="26"/>
  </w:num>
  <w:num w:numId="14">
    <w:abstractNumId w:val="29"/>
  </w:num>
  <w:num w:numId="15">
    <w:abstractNumId w:val="28"/>
  </w:num>
  <w:num w:numId="16">
    <w:abstractNumId w:val="23"/>
  </w:num>
  <w:num w:numId="17">
    <w:abstractNumId w:val="2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22"/>
  </w:num>
  <w:num w:numId="24">
    <w:abstractNumId w:val="14"/>
  </w:num>
  <w:num w:numId="25">
    <w:abstractNumId w:val="19"/>
  </w:num>
  <w:num w:numId="26">
    <w:abstractNumId w:val="9"/>
  </w:num>
  <w:num w:numId="27">
    <w:abstractNumId w:val="17"/>
  </w:num>
  <w:num w:numId="28">
    <w:abstractNumId w:val="21"/>
  </w:num>
  <w:num w:numId="29">
    <w:abstractNumId w:val="13"/>
  </w:num>
  <w:num w:numId="30">
    <w:abstractNumId w:val="11"/>
  </w:num>
  <w:num w:numId="31">
    <w:abstractNumId w:val="10"/>
  </w:num>
  <w:num w:numId="32">
    <w:abstractNumId w:val="27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597C"/>
    <w:rsid w:val="000203A0"/>
    <w:rsid w:val="00025528"/>
    <w:rsid w:val="00033060"/>
    <w:rsid w:val="0003341A"/>
    <w:rsid w:val="0003348F"/>
    <w:rsid w:val="00037482"/>
    <w:rsid w:val="000447B5"/>
    <w:rsid w:val="0004764B"/>
    <w:rsid w:val="00051662"/>
    <w:rsid w:val="00057EF4"/>
    <w:rsid w:val="00075FEB"/>
    <w:rsid w:val="00076D19"/>
    <w:rsid w:val="00081690"/>
    <w:rsid w:val="000B381A"/>
    <w:rsid w:val="000C3B62"/>
    <w:rsid w:val="000E16CB"/>
    <w:rsid w:val="000E189E"/>
    <w:rsid w:val="000E287E"/>
    <w:rsid w:val="000E656A"/>
    <w:rsid w:val="00110CAB"/>
    <w:rsid w:val="00127444"/>
    <w:rsid w:val="00130314"/>
    <w:rsid w:val="00130E99"/>
    <w:rsid w:val="00144856"/>
    <w:rsid w:val="00153601"/>
    <w:rsid w:val="0015615E"/>
    <w:rsid w:val="00160E7F"/>
    <w:rsid w:val="001901D2"/>
    <w:rsid w:val="001A275C"/>
    <w:rsid w:val="001A5F83"/>
    <w:rsid w:val="001B058C"/>
    <w:rsid w:val="001B77A9"/>
    <w:rsid w:val="001C5E2B"/>
    <w:rsid w:val="00225332"/>
    <w:rsid w:val="00225D9A"/>
    <w:rsid w:val="00234F4D"/>
    <w:rsid w:val="00240E96"/>
    <w:rsid w:val="00277818"/>
    <w:rsid w:val="00282B0D"/>
    <w:rsid w:val="002A08F4"/>
    <w:rsid w:val="002A1531"/>
    <w:rsid w:val="002B38C4"/>
    <w:rsid w:val="002E1442"/>
    <w:rsid w:val="0030055B"/>
    <w:rsid w:val="0031571B"/>
    <w:rsid w:val="003512F7"/>
    <w:rsid w:val="00371B2F"/>
    <w:rsid w:val="00375E14"/>
    <w:rsid w:val="003C7115"/>
    <w:rsid w:val="003D3B53"/>
    <w:rsid w:val="003D475D"/>
    <w:rsid w:val="003D793D"/>
    <w:rsid w:val="003E3524"/>
    <w:rsid w:val="003F553F"/>
    <w:rsid w:val="00412C8D"/>
    <w:rsid w:val="00421244"/>
    <w:rsid w:val="0043657C"/>
    <w:rsid w:val="004606B8"/>
    <w:rsid w:val="004670E4"/>
    <w:rsid w:val="00474AB6"/>
    <w:rsid w:val="00487D97"/>
    <w:rsid w:val="004A6FAC"/>
    <w:rsid w:val="004B6721"/>
    <w:rsid w:val="004B7255"/>
    <w:rsid w:val="004D2199"/>
    <w:rsid w:val="004D5E42"/>
    <w:rsid w:val="004D77C2"/>
    <w:rsid w:val="00516D84"/>
    <w:rsid w:val="00520593"/>
    <w:rsid w:val="00520CD6"/>
    <w:rsid w:val="00522EBF"/>
    <w:rsid w:val="00542117"/>
    <w:rsid w:val="00543A97"/>
    <w:rsid w:val="00556890"/>
    <w:rsid w:val="005A3E81"/>
    <w:rsid w:val="005D349A"/>
    <w:rsid w:val="005F3B83"/>
    <w:rsid w:val="00617D01"/>
    <w:rsid w:val="00670CD9"/>
    <w:rsid w:val="006816DA"/>
    <w:rsid w:val="0068569D"/>
    <w:rsid w:val="00687C4D"/>
    <w:rsid w:val="006A6EB8"/>
    <w:rsid w:val="006A7434"/>
    <w:rsid w:val="006C7B65"/>
    <w:rsid w:val="006E00B4"/>
    <w:rsid w:val="006E78F9"/>
    <w:rsid w:val="00714DDF"/>
    <w:rsid w:val="007327B3"/>
    <w:rsid w:val="0073591C"/>
    <w:rsid w:val="007370F1"/>
    <w:rsid w:val="007846DC"/>
    <w:rsid w:val="0078689A"/>
    <w:rsid w:val="0080055B"/>
    <w:rsid w:val="008156F8"/>
    <w:rsid w:val="00825D8E"/>
    <w:rsid w:val="00827105"/>
    <w:rsid w:val="00836D91"/>
    <w:rsid w:val="008C2137"/>
    <w:rsid w:val="008D2393"/>
    <w:rsid w:val="008D5C4F"/>
    <w:rsid w:val="008F3E96"/>
    <w:rsid w:val="009047A6"/>
    <w:rsid w:val="00910917"/>
    <w:rsid w:val="00963EDD"/>
    <w:rsid w:val="009768A4"/>
    <w:rsid w:val="00986910"/>
    <w:rsid w:val="009B4B9F"/>
    <w:rsid w:val="009C5E10"/>
    <w:rsid w:val="009C6D3D"/>
    <w:rsid w:val="009F25B4"/>
    <w:rsid w:val="00A26C0E"/>
    <w:rsid w:val="00A275C8"/>
    <w:rsid w:val="00A32F0F"/>
    <w:rsid w:val="00A90E40"/>
    <w:rsid w:val="00A96019"/>
    <w:rsid w:val="00AA4A63"/>
    <w:rsid w:val="00AB1829"/>
    <w:rsid w:val="00AC13C1"/>
    <w:rsid w:val="00AD3DC8"/>
    <w:rsid w:val="00AF0441"/>
    <w:rsid w:val="00AF06ED"/>
    <w:rsid w:val="00B22010"/>
    <w:rsid w:val="00B514BA"/>
    <w:rsid w:val="00B61303"/>
    <w:rsid w:val="00B63306"/>
    <w:rsid w:val="00B64BB4"/>
    <w:rsid w:val="00B827FC"/>
    <w:rsid w:val="00B8430C"/>
    <w:rsid w:val="00B86A81"/>
    <w:rsid w:val="00B94B6E"/>
    <w:rsid w:val="00B96BE5"/>
    <w:rsid w:val="00BB7DEC"/>
    <w:rsid w:val="00BC56F0"/>
    <w:rsid w:val="00BD25FE"/>
    <w:rsid w:val="00BD4716"/>
    <w:rsid w:val="00BE1410"/>
    <w:rsid w:val="00BF74EC"/>
    <w:rsid w:val="00C02A2D"/>
    <w:rsid w:val="00C05F6C"/>
    <w:rsid w:val="00C102EF"/>
    <w:rsid w:val="00C2595D"/>
    <w:rsid w:val="00C34921"/>
    <w:rsid w:val="00C648A3"/>
    <w:rsid w:val="00C67C0F"/>
    <w:rsid w:val="00C72283"/>
    <w:rsid w:val="00C76BF7"/>
    <w:rsid w:val="00C8049D"/>
    <w:rsid w:val="00C87BF8"/>
    <w:rsid w:val="00C91376"/>
    <w:rsid w:val="00C955A7"/>
    <w:rsid w:val="00CA0EBB"/>
    <w:rsid w:val="00CA7DD1"/>
    <w:rsid w:val="00CB3324"/>
    <w:rsid w:val="00CB5872"/>
    <w:rsid w:val="00CC44B2"/>
    <w:rsid w:val="00CD7F99"/>
    <w:rsid w:val="00CE1C50"/>
    <w:rsid w:val="00D0462F"/>
    <w:rsid w:val="00D14082"/>
    <w:rsid w:val="00D347CF"/>
    <w:rsid w:val="00D40075"/>
    <w:rsid w:val="00D52395"/>
    <w:rsid w:val="00D546BC"/>
    <w:rsid w:val="00DA5F8E"/>
    <w:rsid w:val="00DC723E"/>
    <w:rsid w:val="00DD2198"/>
    <w:rsid w:val="00DF0D60"/>
    <w:rsid w:val="00DF7950"/>
    <w:rsid w:val="00E04718"/>
    <w:rsid w:val="00E10E5D"/>
    <w:rsid w:val="00E47697"/>
    <w:rsid w:val="00E47CBC"/>
    <w:rsid w:val="00E53992"/>
    <w:rsid w:val="00E5513A"/>
    <w:rsid w:val="00E73CA8"/>
    <w:rsid w:val="00E75B87"/>
    <w:rsid w:val="00E77334"/>
    <w:rsid w:val="00E86A18"/>
    <w:rsid w:val="00E92262"/>
    <w:rsid w:val="00EA3776"/>
    <w:rsid w:val="00EB7BBE"/>
    <w:rsid w:val="00EB7D60"/>
    <w:rsid w:val="00ED0081"/>
    <w:rsid w:val="00EE55BF"/>
    <w:rsid w:val="00F3795A"/>
    <w:rsid w:val="00F405F6"/>
    <w:rsid w:val="00F41E34"/>
    <w:rsid w:val="00F52E08"/>
    <w:rsid w:val="00F81062"/>
    <w:rsid w:val="00F90DD6"/>
    <w:rsid w:val="00FB7E3F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5810"/>
    <w:rsid w:val="0009735B"/>
    <w:rsid w:val="000B07AC"/>
    <w:rsid w:val="001D2D36"/>
    <w:rsid w:val="002026A5"/>
    <w:rsid w:val="002741A0"/>
    <w:rsid w:val="00354B7E"/>
    <w:rsid w:val="00385DF4"/>
    <w:rsid w:val="004F013F"/>
    <w:rsid w:val="005C5BB5"/>
    <w:rsid w:val="00620116"/>
    <w:rsid w:val="006660F0"/>
    <w:rsid w:val="007334E3"/>
    <w:rsid w:val="007B2313"/>
    <w:rsid w:val="008557D6"/>
    <w:rsid w:val="00A80F29"/>
    <w:rsid w:val="00A8383E"/>
    <w:rsid w:val="00A85AE5"/>
    <w:rsid w:val="00B80F8D"/>
    <w:rsid w:val="00CC1EFB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94</cp:revision>
  <dcterms:created xsi:type="dcterms:W3CDTF">2011-02-10T15:36:00Z</dcterms:created>
  <dcterms:modified xsi:type="dcterms:W3CDTF">2012-01-17T10:45:00Z</dcterms:modified>
</cp:coreProperties>
</file>