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7846DC" w:rsidP="002A08F4">
      <w:pPr>
        <w:pStyle w:val="ListParagraph"/>
      </w:pPr>
      <w:r w:rsidRPr="007846DC">
        <w:t xml:space="preserve">The purpose of this procedure is to </w:t>
      </w:r>
      <w:r w:rsidR="00076D19">
        <w:t xml:space="preserve">define the risk assessment approach </w:t>
      </w:r>
      <w:r w:rsidR="00225332">
        <w:t xml:space="preserve">related to information assets </w:t>
      </w:r>
      <w:r w:rsidR="00076D19">
        <w:t>of the Electronics Department</w:t>
      </w:r>
      <w:r w:rsidR="00C102EF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7846DC" w:rsidP="000E189E">
      <w:pPr>
        <w:pStyle w:val="ListParagraph"/>
      </w:pPr>
      <w:r>
        <w:t xml:space="preserve">It is applicable to all </w:t>
      </w:r>
      <w:r w:rsidR="00076D19">
        <w:t>information assets in</w:t>
      </w:r>
      <w:r>
        <w:t xml:space="preserve"> the Electronics Department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7846DC" w:rsidRPr="007846DC" w:rsidRDefault="00225D9A" w:rsidP="007846DC">
      <w:pPr>
        <w:pStyle w:val="ListParagraph"/>
      </w:pPr>
      <w:r>
        <w:t xml:space="preserve">In this document, terms with special intent have been marked in </w:t>
      </w:r>
      <w:r w:rsidRPr="00ED2032">
        <w:rPr>
          <w:i/>
        </w:rPr>
        <w:t>italics</w:t>
      </w:r>
      <w:r>
        <w:t xml:space="preserve">. For their definitions, refer to the Terms and Definitions section of the </w:t>
      </w:r>
      <w:r w:rsidRPr="00780383">
        <w:t>NSCL Electronics Department ISMS Manual</w:t>
      </w:r>
      <w:bookmarkStart w:id="0" w:name="_GoBack"/>
      <w:bookmarkEnd w:id="0"/>
      <w:r w:rsidR="009F25B4">
        <w:t>.</w:t>
      </w:r>
    </w:p>
    <w:p w:rsidR="007846DC" w:rsidRDefault="007846DC" w:rsidP="002A08F4">
      <w:pPr>
        <w:pStyle w:val="Heading1"/>
      </w:pPr>
      <w:r>
        <w:t>Entry Criteria</w:t>
      </w:r>
    </w:p>
    <w:p w:rsidR="007846DC" w:rsidRDefault="005A3E81" w:rsidP="005A3E81">
      <w:pPr>
        <w:pStyle w:val="ListParagraph"/>
        <w:numPr>
          <w:ilvl w:val="0"/>
          <w:numId w:val="26"/>
        </w:numPr>
      </w:pPr>
      <w:r>
        <w:t>A new information asset has been identified and needs to be evaluated for risks</w:t>
      </w:r>
    </w:p>
    <w:p w:rsidR="005A3E81" w:rsidRDefault="005A3E81" w:rsidP="005A3E81">
      <w:pPr>
        <w:pStyle w:val="ListParagraph"/>
        <w:numPr>
          <w:ilvl w:val="0"/>
          <w:numId w:val="26"/>
        </w:numPr>
      </w:pPr>
      <w:r>
        <w:t>Or, new risks and associated threats have been identified</w:t>
      </w:r>
    </w:p>
    <w:p w:rsidR="005A3E81" w:rsidRPr="007846DC" w:rsidRDefault="005A3E81" w:rsidP="005A3E81">
      <w:pPr>
        <w:pStyle w:val="ListParagraph"/>
        <w:numPr>
          <w:ilvl w:val="0"/>
          <w:numId w:val="26"/>
        </w:numPr>
      </w:pPr>
      <w:r>
        <w:t xml:space="preserve">Or, it is time for periodic risk assessment </w:t>
      </w:r>
    </w:p>
    <w:p w:rsidR="007846DC" w:rsidRDefault="007846DC" w:rsidP="002A08F4">
      <w:pPr>
        <w:pStyle w:val="Heading1"/>
      </w:pPr>
      <w:r>
        <w:t>Inputs</w:t>
      </w:r>
    </w:p>
    <w:p w:rsidR="007846DC" w:rsidRDefault="005A3E81" w:rsidP="009F25B4">
      <w:pPr>
        <w:pStyle w:val="ListParagraph"/>
        <w:numPr>
          <w:ilvl w:val="0"/>
          <w:numId w:val="24"/>
        </w:numPr>
      </w:pPr>
      <w:r>
        <w:t>New information asset, risk, or threat</w:t>
      </w:r>
    </w:p>
    <w:p w:rsidR="005A3E81" w:rsidRPr="007846DC" w:rsidRDefault="005A3E81" w:rsidP="009F25B4">
      <w:pPr>
        <w:pStyle w:val="ListParagraph"/>
        <w:numPr>
          <w:ilvl w:val="0"/>
          <w:numId w:val="24"/>
        </w:numPr>
      </w:pPr>
      <w:r>
        <w:t>Current risk assessment matrix</w:t>
      </w:r>
    </w:p>
    <w:p w:rsidR="0030055B" w:rsidRDefault="00412C8D" w:rsidP="002A08F4">
      <w:pPr>
        <w:pStyle w:val="Heading1"/>
      </w:pPr>
      <w:r>
        <w:t>Procedure</w:t>
      </w:r>
    </w:p>
    <w:p w:rsidR="009047A6" w:rsidRPr="009047A6" w:rsidRDefault="009047A6" w:rsidP="009047A6">
      <w:pPr>
        <w:pStyle w:val="ListParagraph"/>
      </w:pPr>
      <w:r>
        <w:t>This procedure is based on The OCTAVE Allegro risk assessment methodology</w:t>
      </w:r>
      <w:r w:rsidR="00827105">
        <w:t xml:space="preserve">. One must read and understand the details of the methodology before executing this procedure. The </w:t>
      </w:r>
      <w:r w:rsidR="00153601">
        <w:t xml:space="preserve">EE </w:t>
      </w:r>
      <w:r w:rsidR="00827105">
        <w:t xml:space="preserve">Asset and Risk Profile must be referred to and updated when executing this procedure. </w:t>
      </w:r>
      <w:r>
        <w:t xml:space="preserve">It can be performed by anyone but is generally carried out by the Information Security Manager (referred </w:t>
      </w:r>
      <w:r w:rsidR="00130314">
        <w:t xml:space="preserve">to </w:t>
      </w:r>
      <w:r>
        <w:t xml:space="preserve">as the Assessor below). </w:t>
      </w:r>
    </w:p>
    <w:p w:rsidR="00AB1829" w:rsidRDefault="004D5E42" w:rsidP="00AB1829">
      <w:pPr>
        <w:ind w:left="720"/>
      </w:pPr>
      <w:r>
        <w:br/>
      </w:r>
    </w:p>
    <w:tbl>
      <w:tblPr>
        <w:tblStyle w:val="TableGrid"/>
        <w:tblW w:w="4750" w:type="pct"/>
        <w:tblLook w:val="04A0" w:firstRow="1" w:lastRow="0" w:firstColumn="1" w:lastColumn="0" w:noHBand="0" w:noVBand="1"/>
      </w:tblPr>
      <w:tblGrid>
        <w:gridCol w:w="672"/>
        <w:gridCol w:w="1063"/>
        <w:gridCol w:w="7362"/>
      </w:tblGrid>
      <w:tr w:rsidR="009F25B4" w:rsidTr="003D3B53">
        <w:tc>
          <w:tcPr>
            <w:tcW w:w="250" w:type="pct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500" w:type="pct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0" w:type="auto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9F25B4" w:rsidRDefault="009047A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  <w:hideMark/>
          </w:tcPr>
          <w:p w:rsidR="009F25B4" w:rsidRDefault="005F3B83" w:rsidP="005F3B8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Risk Measurement Criteria.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he following 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 xml:space="preserve">risk impact areas have been identified and prioritized to measure a risk’s effect on EE Department’s mission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 xml:space="preserve">refer to ‘Impact Areas’ in 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 xml:space="preserve">the EE 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>Asset and Risk Profile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):</w:t>
            </w:r>
          </w:p>
          <w:p w:rsidR="005F3B83" w:rsidRDefault="00234F4D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NSCL’s </w:t>
            </w:r>
            <w:r w:rsidR="005F3B83">
              <w:rPr>
                <w:rFonts w:ascii="Verdana" w:hAnsi="Verdana"/>
                <w:color w:val="000000"/>
                <w:sz w:val="18"/>
                <w:szCs w:val="18"/>
              </w:rPr>
              <w:t>Quality Objective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 xml:space="preserve">: impact of 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 xml:space="preserve">a 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>risk on lab’s quality objective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>s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>. See NSCL’s quality policy and objective.</w:t>
            </w:r>
          </w:p>
          <w:p w:rsidR="005F3B83" w:rsidRDefault="00234F4D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NSCL’s 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 xml:space="preserve">and EE Department’s </w:t>
            </w:r>
            <w:r w:rsidR="005F3B83">
              <w:rPr>
                <w:rFonts w:ascii="Verdana" w:hAnsi="Verdana"/>
                <w:color w:val="000000"/>
                <w:sz w:val="18"/>
                <w:szCs w:val="18"/>
              </w:rPr>
              <w:t>Reputation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 xml:space="preserve">: </w:t>
            </w:r>
          </w:p>
          <w:p w:rsidR="005F3B83" w:rsidRDefault="00234F4D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Employee </w:t>
            </w:r>
            <w:r w:rsidR="005F3B83">
              <w:rPr>
                <w:rFonts w:ascii="Verdana" w:hAnsi="Verdana"/>
                <w:color w:val="000000"/>
                <w:sz w:val="18"/>
                <w:szCs w:val="18"/>
              </w:rPr>
              <w:t>Productivity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 xml:space="preserve">: </w:t>
            </w:r>
          </w:p>
          <w:p w:rsidR="005F3B83" w:rsidRDefault="00234F4D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Employee </w:t>
            </w:r>
            <w:r w:rsidR="005F3B83">
              <w:rPr>
                <w:rFonts w:ascii="Verdana" w:hAnsi="Verdana"/>
                <w:color w:val="000000"/>
                <w:sz w:val="18"/>
                <w:szCs w:val="18"/>
              </w:rPr>
              <w:t>Safety and Health</w:t>
            </w:r>
          </w:p>
          <w:p w:rsidR="005F3B83" w:rsidRDefault="005F3B83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Financial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>: Operating or one-time financial losses</w:t>
            </w:r>
          </w:p>
          <w:p w:rsidR="005F3B83" w:rsidRDefault="005F3B83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Legal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>: Fines and lawsuits</w:t>
            </w:r>
          </w:p>
          <w:p w:rsidR="005F3B83" w:rsidRDefault="005F3B83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Critical Project </w:t>
            </w:r>
            <w:r w:rsidR="00234F4D">
              <w:rPr>
                <w:rFonts w:ascii="Verdana" w:hAnsi="Verdana"/>
                <w:color w:val="000000"/>
                <w:sz w:val="18"/>
                <w:szCs w:val="18"/>
              </w:rPr>
              <w:t>Impact: Impact of risk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>s</w:t>
            </w:r>
            <w:r w:rsidR="00234F4D">
              <w:rPr>
                <w:rFonts w:ascii="Verdana" w:hAnsi="Verdana"/>
                <w:color w:val="000000"/>
                <w:sz w:val="18"/>
                <w:szCs w:val="18"/>
              </w:rPr>
              <w:t xml:space="preserve"> on schedule and cost of critical projects</w:t>
            </w:r>
          </w:p>
          <w:p w:rsidR="004B6721" w:rsidRDefault="004B6721" w:rsidP="009C6D3D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5F3B83" w:rsidRPr="005F3B83" w:rsidRDefault="005F3B83" w:rsidP="0015360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If 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>needed</w:t>
            </w:r>
            <w:r w:rsidR="009C6D3D">
              <w:rPr>
                <w:rFonts w:ascii="Verdana" w:hAnsi="Verdana"/>
                <w:color w:val="000000"/>
                <w:sz w:val="18"/>
                <w:szCs w:val="18"/>
              </w:rPr>
              <w:t>, refine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9C6D3D">
              <w:rPr>
                <w:rFonts w:ascii="Verdana" w:hAnsi="Verdana"/>
                <w:color w:val="000000"/>
                <w:sz w:val="18"/>
                <w:szCs w:val="18"/>
              </w:rPr>
              <w:t xml:space="preserve">the 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>impact areas</w:t>
            </w:r>
            <w:r w:rsidR="00836D91">
              <w:rPr>
                <w:rFonts w:ascii="Verdana" w:hAnsi="Verdana"/>
                <w:color w:val="000000"/>
                <w:sz w:val="18"/>
                <w:szCs w:val="18"/>
              </w:rPr>
              <w:t xml:space="preserve"> or the priorities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>, and update the EE Asset and Risk Profile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 xml:space="preserve">. Changes to 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>impact areas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 xml:space="preserve"> or their priorities must be approved by</w:t>
            </w:r>
            <w:r w:rsidR="00836D91">
              <w:rPr>
                <w:rFonts w:ascii="Verdana" w:hAnsi="Verdana"/>
                <w:color w:val="000000"/>
                <w:sz w:val="18"/>
                <w:szCs w:val="18"/>
              </w:rPr>
              <w:t xml:space="preserve"> the 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 xml:space="preserve">Electronics </w:t>
            </w:r>
            <w:r w:rsidR="00836D91">
              <w:rPr>
                <w:rFonts w:ascii="Verdana" w:hAnsi="Verdana"/>
                <w:color w:val="000000"/>
                <w:sz w:val="18"/>
                <w:szCs w:val="18"/>
              </w:rPr>
              <w:t>Department Head.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:rsidR="009F25B4" w:rsidRDefault="009047A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  <w:hideMark/>
          </w:tcPr>
          <w:p w:rsidR="00AC13C1" w:rsidRDefault="00130314" w:rsidP="00EE55B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30314">
              <w:rPr>
                <w:rFonts w:ascii="Verdana" w:hAnsi="Verdana"/>
                <w:b/>
                <w:color w:val="000000"/>
                <w:sz w:val="18"/>
                <w:szCs w:val="18"/>
              </w:rPr>
              <w:t>Information Asset Profile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  <w:r w:rsidR="00AF0441">
              <w:rPr>
                <w:rFonts w:ascii="Verdana" w:hAnsi="Verdana"/>
                <w:color w:val="000000"/>
                <w:sz w:val="18"/>
                <w:szCs w:val="18"/>
              </w:rPr>
              <w:t xml:space="preserve">Identify </w:t>
            </w:r>
            <w:r w:rsidRPr="006E00B4">
              <w:rPr>
                <w:rFonts w:ascii="Verdana" w:hAnsi="Verdana"/>
                <w:i/>
                <w:color w:val="000000"/>
                <w:sz w:val="18"/>
                <w:szCs w:val="18"/>
              </w:rPr>
              <w:t xml:space="preserve">information </w:t>
            </w:r>
            <w:r w:rsidR="00AF0441" w:rsidRPr="006E00B4">
              <w:rPr>
                <w:rFonts w:ascii="Verdana" w:hAnsi="Verdana"/>
                <w:i/>
                <w:color w:val="000000"/>
                <w:sz w:val="18"/>
                <w:szCs w:val="18"/>
              </w:rPr>
              <w:t>assets</w:t>
            </w:r>
            <w:r w:rsidR="006E00B4">
              <w:rPr>
                <w:rFonts w:ascii="Verdana" w:hAnsi="Verdana"/>
                <w:color w:val="000000"/>
                <w:sz w:val="18"/>
                <w:szCs w:val="18"/>
              </w:rPr>
              <w:t xml:space="preserve"> in the department</w:t>
            </w:r>
            <w:r w:rsidR="00AF0441"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  <w:r w:rsidR="00AC13C1">
              <w:rPr>
                <w:rFonts w:ascii="Verdana" w:hAnsi="Verdana"/>
                <w:color w:val="000000"/>
                <w:sz w:val="18"/>
                <w:szCs w:val="18"/>
              </w:rPr>
              <w:t xml:space="preserve">For each asset perform the following: </w:t>
            </w:r>
          </w:p>
          <w:p w:rsidR="00AC13C1" w:rsidRDefault="004A6FAC" w:rsidP="00AC13C1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Assign an identifier</w:t>
            </w:r>
          </w:p>
          <w:p w:rsidR="00AC13C1" w:rsidRDefault="00AC13C1" w:rsidP="00AC13C1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Describe the asset and the</w:t>
            </w:r>
            <w:r w:rsidR="00EE55BF"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1A275C"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rationale for </w:t>
            </w:r>
            <w:r w:rsidR="00EE55BF"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its </w:t>
            </w:r>
            <w:r w:rsidR="001A275C" w:rsidRPr="00AC13C1">
              <w:rPr>
                <w:rFonts w:ascii="Verdana" w:hAnsi="Verdana"/>
                <w:color w:val="000000"/>
                <w:sz w:val="18"/>
                <w:szCs w:val="18"/>
              </w:rPr>
              <w:t>selection</w:t>
            </w:r>
          </w:p>
          <w:p w:rsidR="00AC13C1" w:rsidRDefault="00AC13C1" w:rsidP="00AC13C1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Identify</w:t>
            </w:r>
            <w:r w:rsidR="00EE55BF"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the person responsible for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the asset</w:t>
            </w:r>
            <w:r w:rsidR="00EE55BF"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its </w:t>
            </w:r>
            <w:r w:rsidR="00EE55BF" w:rsidRPr="00AC13C1">
              <w:rPr>
                <w:rFonts w:ascii="Verdana" w:hAnsi="Verdana"/>
                <w:color w:val="000000"/>
                <w:sz w:val="18"/>
                <w:szCs w:val="18"/>
              </w:rPr>
              <w:t>owner)</w:t>
            </w:r>
            <w:r w:rsidR="001A275C" w:rsidRPr="00AC13C1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AC13C1" w:rsidRDefault="00AC13C1" w:rsidP="00AC13C1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Record the security requirements for its Confidentiality, Integrity, and Availability. </w:t>
            </w:r>
          </w:p>
          <w:p w:rsidR="009F25B4" w:rsidRDefault="00AC13C1" w:rsidP="00AC13C1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Identify the most important security requirement </w:t>
            </w:r>
          </w:p>
          <w:p w:rsidR="00AC13C1" w:rsidRPr="00AC13C1" w:rsidRDefault="00AC13C1" w:rsidP="00F90DD6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Record </w:t>
            </w:r>
            <w:r w:rsidR="00F90DD6">
              <w:rPr>
                <w:rFonts w:ascii="Verdana" w:hAnsi="Verdana"/>
                <w:color w:val="000000"/>
                <w:sz w:val="18"/>
                <w:szCs w:val="18"/>
              </w:rPr>
              <w:t>the above information in</w:t>
            </w: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the Asset </w:t>
            </w:r>
            <w:r w:rsidR="00234F4D">
              <w:rPr>
                <w:rFonts w:ascii="Verdana" w:hAnsi="Verdana"/>
                <w:color w:val="000000"/>
                <w:sz w:val="18"/>
                <w:szCs w:val="18"/>
              </w:rPr>
              <w:t xml:space="preserve">Risk </w:t>
            </w: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>Profile</w:t>
            </w:r>
            <w:r w:rsidR="00234F4D">
              <w:rPr>
                <w:rFonts w:ascii="Verdana" w:hAnsi="Verdana"/>
                <w:color w:val="000000"/>
                <w:sz w:val="18"/>
                <w:szCs w:val="18"/>
              </w:rPr>
              <w:t>s</w:t>
            </w: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(R01-Asset-Risk-Profiles.xlsx)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9F25B4" w:rsidRDefault="00C8049D" w:rsidP="00C8049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</w:t>
            </w:r>
            <w:r w:rsidR="00CB5872">
              <w:rPr>
                <w:rFonts w:ascii="Verdana" w:hAnsi="Verdana"/>
                <w:color w:val="000000"/>
                <w:sz w:val="18"/>
                <w:szCs w:val="18"/>
              </w:rPr>
              <w:t>ss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or</w:t>
            </w:r>
          </w:p>
        </w:tc>
        <w:tc>
          <w:tcPr>
            <w:tcW w:w="0" w:type="auto"/>
            <w:hideMark/>
          </w:tcPr>
          <w:p w:rsidR="006C7B65" w:rsidRDefault="00C8049D" w:rsidP="00CB5872">
            <w:p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Information Asset Containers</w:t>
            </w:r>
            <w:r w:rsidR="009F25B4" w:rsidRPr="009F25B4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.</w:t>
            </w:r>
            <w:r w:rsidR="009F25B4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 w:rsidR="00CB5872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Identify the containers in which the information asset is stored, transported, or processed. </w:t>
            </w:r>
            <w:r w:rsidR="006C7B65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Information containers can be categorized into:</w:t>
            </w:r>
          </w:p>
          <w:p w:rsidR="006C7B65" w:rsidRDefault="006C7B65" w:rsidP="006C7B65">
            <w:pPr>
              <w:pStyle w:val="ListParagraph"/>
              <w:numPr>
                <w:ilvl w:val="0"/>
                <w:numId w:val="29"/>
              </w:num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T</w:t>
            </w:r>
            <w:r w:rsidRPr="006C7B65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echnical (examples: software, databases, 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servers</w:t>
            </w:r>
            <w:r w:rsidR="00234F4D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)</w:t>
            </w:r>
          </w:p>
          <w:p w:rsidR="006C7B65" w:rsidRDefault="006C7B65" w:rsidP="006C7B65">
            <w:pPr>
              <w:pStyle w:val="ListParagraph"/>
              <w:numPr>
                <w:ilvl w:val="0"/>
                <w:numId w:val="29"/>
              </w:num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P</w:t>
            </w:r>
            <w:r w:rsidRPr="006C7B65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hysical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 (examples: paper, folders)</w:t>
            </w:r>
          </w:p>
          <w:p w:rsidR="00CB5872" w:rsidRPr="006C7B65" w:rsidRDefault="006C7B65" w:rsidP="006C7B65">
            <w:pPr>
              <w:pStyle w:val="ListParagraph"/>
              <w:numPr>
                <w:ilvl w:val="0"/>
                <w:numId w:val="29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 w:rsidRPr="006C7B65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Human (examples: only Joe knows the formula or process). </w:t>
            </w:r>
          </w:p>
          <w:p w:rsidR="009F25B4" w:rsidRDefault="006C7B65" w:rsidP="00CB587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For each category, identify both internal (inside the department) and external (such as vendors and partners) containers.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9F25B4" w:rsidRDefault="004D219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  <w:hideMark/>
          </w:tcPr>
          <w:p w:rsidR="009F25B4" w:rsidRDefault="00E47CBC" w:rsidP="0004764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Identify Areas of Concern</w:t>
            </w:r>
            <w:r w:rsidR="009F25B4" w:rsidRPr="009F25B4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.</w:t>
            </w:r>
            <w:r w:rsidR="009F25B4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For each information-asset container, identify </w:t>
            </w:r>
            <w:r w:rsidR="0004764B">
              <w:rPr>
                <w:rFonts w:ascii="Verdana" w:hAnsi="Verdana"/>
                <w:color w:val="000000"/>
                <w:sz w:val="18"/>
                <w:szCs w:val="18"/>
              </w:rPr>
              <w:t>real-world conditions or situations that could affect the information asset</w:t>
            </w:r>
            <w:r w:rsidR="009F25B4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04764B" w:rsidRDefault="0004764B" w:rsidP="0004764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04764B" w:rsidRDefault="0004764B" w:rsidP="0098691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Example: </w:t>
            </w:r>
            <w:r w:rsidR="00986910">
              <w:rPr>
                <w:rFonts w:ascii="Verdana" w:hAnsi="Verdana"/>
                <w:color w:val="000000"/>
                <w:sz w:val="18"/>
                <w:szCs w:val="18"/>
              </w:rPr>
              <w:t xml:space="preserve">Incorrect file permissions on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the </w:t>
            </w:r>
            <w:r w:rsidR="00986910">
              <w:rPr>
                <w:rFonts w:ascii="Verdana" w:hAnsi="Verdana"/>
                <w:color w:val="000000"/>
                <w:sz w:val="18"/>
                <w:szCs w:val="18"/>
              </w:rPr>
              <w:t xml:space="preserve">on the file server containing the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Electronics Department’s manuals’ directory, may allow an employee to delete or alter a manual.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9F25B4" w:rsidRDefault="004D219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  <w:hideMark/>
          </w:tcPr>
          <w:p w:rsidR="00DF0D60" w:rsidRDefault="0004764B" w:rsidP="002A1531">
            <w:p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Identify Threat Scenarios</w:t>
            </w:r>
            <w:r w:rsidR="009F25B4" w:rsidRPr="009F25B4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.</w:t>
            </w:r>
            <w:r w:rsidR="009F25B4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 w:rsidR="008D2393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Expand </w:t>
            </w:r>
            <w:r w:rsidR="004D77C2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the</w:t>
            </w:r>
            <w:r w:rsidR="008D2393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 area</w:t>
            </w:r>
            <w:r w:rsidR="004D77C2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s</w:t>
            </w:r>
            <w:r w:rsidR="008D2393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 of concern by identifying the </w:t>
            </w:r>
            <w:r w:rsidR="00DF0D60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actors, means, motives, and outcomes</w:t>
            </w:r>
            <w:r w:rsidR="004D77C2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. This can</w:t>
            </w:r>
            <w:r w:rsidR="00DF0D60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 done by </w:t>
            </w:r>
            <w:r w:rsidR="004D77C2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looking at following categories of threats</w:t>
            </w:r>
            <w:r w:rsidR="00DF0D60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:</w:t>
            </w:r>
          </w:p>
          <w:p w:rsidR="00DF0D60" w:rsidRPr="00DF0D60" w:rsidRDefault="00DF0D60" w:rsidP="00DF0D60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Human actors</w:t>
            </w:r>
            <w:r w:rsidR="004D77C2">
              <w:rPr>
                <w:rFonts w:ascii="Verdana" w:hAnsi="Verdana"/>
                <w:color w:val="000000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The threats to department’s infrastru</w:t>
            </w:r>
            <w:r w:rsidR="004D77C2">
              <w:rPr>
                <w:rFonts w:ascii="Verdana" w:hAnsi="Verdana"/>
                <w:color w:val="000000"/>
                <w:sz w:val="18"/>
                <w:szCs w:val="18"/>
              </w:rPr>
              <w:t>cture or containers by a person. The person may use technical or physical means, and the motive can be deliberate or accidental.</w:t>
            </w:r>
          </w:p>
          <w:p w:rsidR="00DF0D60" w:rsidRDefault="00DF0D60" w:rsidP="008D2393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Technical problems:</w:t>
            </w:r>
            <w:r w:rsidR="004D77C2">
              <w:rPr>
                <w:rFonts w:ascii="Verdana" w:hAnsi="Verdana"/>
                <w:color w:val="000000"/>
                <w:sz w:val="18"/>
                <w:szCs w:val="18"/>
              </w:rPr>
              <w:t xml:space="preserve"> The threats are from software defects, system crashes, hardware defects, or malicious code. </w:t>
            </w:r>
          </w:p>
          <w:p w:rsidR="00DF0D60" w:rsidRDefault="00DF0D60" w:rsidP="008D2393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Other problems: </w:t>
            </w:r>
            <w:r w:rsidR="008D2393">
              <w:rPr>
                <w:rFonts w:ascii="Verdana" w:hAnsi="Verdana"/>
                <w:color w:val="000000"/>
                <w:sz w:val="18"/>
                <w:szCs w:val="18"/>
              </w:rPr>
              <w:t>A</w:t>
            </w:r>
            <w:r w:rsidR="008D2393" w:rsidRPr="000447B5">
              <w:rPr>
                <w:rFonts w:ascii="Verdana" w:hAnsi="Verdana"/>
                <w:color w:val="000000"/>
                <w:sz w:val="18"/>
                <w:szCs w:val="18"/>
              </w:rPr>
              <w:t>ctor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: </w:t>
            </w:r>
            <w:r w:rsidR="004D77C2">
              <w:rPr>
                <w:rFonts w:ascii="Verdana" w:hAnsi="Verdana"/>
                <w:color w:val="000000"/>
                <w:sz w:val="18"/>
                <w:szCs w:val="18"/>
              </w:rPr>
              <w:t>These threats from power supply failures, telecommunications, third-party, or natural disasters.</w:t>
            </w:r>
          </w:p>
          <w:p w:rsidR="004D77C2" w:rsidRDefault="004D77C2" w:rsidP="008D239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outcome in each case is one of the following:</w:t>
            </w:r>
          </w:p>
          <w:p w:rsidR="004D77C2" w:rsidRDefault="004D77C2" w:rsidP="004D77C2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Disclosure of information</w:t>
            </w:r>
          </w:p>
          <w:p w:rsidR="004D77C2" w:rsidRDefault="004D77C2" w:rsidP="004D77C2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Modification of information</w:t>
            </w:r>
          </w:p>
          <w:p w:rsidR="004D77C2" w:rsidRDefault="004D77C2" w:rsidP="004D77C2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Interruption of information</w:t>
            </w:r>
          </w:p>
          <w:p w:rsidR="004D77C2" w:rsidRDefault="004D77C2" w:rsidP="004D77C2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Destruction or loss of information</w:t>
            </w:r>
          </w:p>
          <w:p w:rsidR="004D77C2" w:rsidRPr="004D77C2" w:rsidRDefault="004D77C2" w:rsidP="004D77C2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8D2393" w:rsidRDefault="004D77C2" w:rsidP="008D2393">
            <w:p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Identify the</w:t>
            </w:r>
            <w:r w:rsidR="008D2393" w:rsidRPr="000447B5">
              <w:rPr>
                <w:rFonts w:ascii="Verdana" w:hAnsi="Verdana"/>
                <w:color w:val="000000"/>
                <w:sz w:val="18"/>
                <w:szCs w:val="18"/>
              </w:rPr>
              <w:t xml:space="preserve"> probability of </w:t>
            </w:r>
            <w:r w:rsidR="008D2393">
              <w:rPr>
                <w:rFonts w:ascii="Verdana" w:hAnsi="Verdana"/>
                <w:color w:val="000000"/>
                <w:sz w:val="18"/>
                <w:szCs w:val="18"/>
              </w:rPr>
              <w:t xml:space="preserve">occurrence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of each threat scenario and categorize it as Low, Medium, or High.</w:t>
            </w:r>
          </w:p>
          <w:p w:rsidR="009F25B4" w:rsidRPr="004D77C2" w:rsidRDefault="009F25B4" w:rsidP="004D77C2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2A1531" w:rsidTr="003D3B53">
        <w:tc>
          <w:tcPr>
            <w:tcW w:w="0" w:type="auto"/>
          </w:tcPr>
          <w:p w:rsidR="002A1531" w:rsidRPr="009F25B4" w:rsidRDefault="002A153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2A1531" w:rsidRDefault="002A153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</w:tcPr>
          <w:p w:rsidR="00B64BB4" w:rsidRDefault="00EB7BBE" w:rsidP="006A6EB8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Identify Risks: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For each threat scenario, </w:t>
            </w:r>
            <w:r w:rsidR="00B64BB4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evaluate the </w:t>
            </w:r>
            <w:r w:rsidR="004D77C2">
              <w:rPr>
                <w:rFonts w:ascii="Verdana" w:hAnsi="Verdana"/>
                <w:bCs/>
                <w:color w:val="000000"/>
                <w:sz w:val="18"/>
                <w:szCs w:val="18"/>
              </w:rPr>
              <w:t>consequence</w:t>
            </w:r>
            <w:r w:rsidR="00520593">
              <w:rPr>
                <w:rFonts w:ascii="Verdana" w:hAnsi="Verdana"/>
                <w:bCs/>
                <w:color w:val="000000"/>
                <w:sz w:val="18"/>
                <w:szCs w:val="18"/>
              </w:rPr>
              <w:t>s</w:t>
            </w:r>
            <w:r w:rsidR="004D77C2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(impact)</w:t>
            </w:r>
            <w:r w:rsidR="00B64BB4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on the department. </w:t>
            </w:r>
            <w:r w:rsidR="00520593">
              <w:rPr>
                <w:rFonts w:ascii="Verdana" w:hAnsi="Verdana"/>
                <w:bCs/>
                <w:color w:val="000000"/>
                <w:sz w:val="18"/>
                <w:szCs w:val="18"/>
              </w:rPr>
              <w:t>Note: Risk = Threat + Impact</w:t>
            </w:r>
          </w:p>
          <w:p w:rsidR="004D77C2" w:rsidRDefault="004D77C2" w:rsidP="006A6EB8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p w:rsidR="00520593" w:rsidRDefault="00520593" w:rsidP="006A6EB8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Example: </w:t>
            </w:r>
          </w:p>
          <w:p w:rsidR="00520593" w:rsidRPr="00520593" w:rsidRDefault="00520593" w:rsidP="00520593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520593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Threat Scenario: Malicious modification of PLC software.  </w:t>
            </w:r>
          </w:p>
          <w:p w:rsidR="00520593" w:rsidRPr="00520593" w:rsidRDefault="00520593" w:rsidP="00520593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520593">
              <w:rPr>
                <w:rFonts w:ascii="Verdana" w:hAnsi="Verdana"/>
                <w:bCs/>
                <w:color w:val="000000"/>
                <w:sz w:val="18"/>
                <w:szCs w:val="18"/>
              </w:rPr>
              <w:t>Consequence: The interlocks will not function properly resulting in injury or death of personnel.</w:t>
            </w:r>
          </w:p>
          <w:p w:rsidR="002A1531" w:rsidRPr="00EB7BBE" w:rsidRDefault="002A1531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</w:tc>
      </w:tr>
      <w:tr w:rsidR="001901D2" w:rsidTr="003D3B53">
        <w:trPr>
          <w:trHeight w:val="2265"/>
        </w:trPr>
        <w:tc>
          <w:tcPr>
            <w:tcW w:w="0" w:type="auto"/>
          </w:tcPr>
          <w:p w:rsidR="001901D2" w:rsidRDefault="001901D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</w:tcPr>
          <w:p w:rsidR="001901D2" w:rsidRDefault="001901D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</w:tcPr>
          <w:p w:rsidR="006A6EB8" w:rsidRDefault="003F553F" w:rsidP="006A6EB8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Analyze Risks.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Based on the Risk Measurement Criteria (Step 1)</w:t>
            </w:r>
            <w:r w:rsidR="006A6EB8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, </w:t>
            </w:r>
            <w:proofErr w:type="gramStart"/>
            <w:r w:rsidR="006A6EB8">
              <w:rPr>
                <w:rFonts w:ascii="Verdana" w:hAnsi="Verdana"/>
                <w:bCs/>
                <w:color w:val="000000"/>
                <w:sz w:val="18"/>
                <w:szCs w:val="18"/>
              </w:rPr>
              <w:t>evaluate</w:t>
            </w:r>
            <w:proofErr w:type="gramEnd"/>
            <w:r w:rsidR="006A6EB8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the consequences </w:t>
            </w:r>
            <w:r w:rsidR="00130E99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of every risk on </w:t>
            </w:r>
            <w:r w:rsidR="006A6EB8">
              <w:rPr>
                <w:rFonts w:ascii="Verdana" w:hAnsi="Verdana"/>
                <w:bCs/>
                <w:color w:val="000000"/>
                <w:sz w:val="18"/>
                <w:szCs w:val="18"/>
              </w:rPr>
              <w:t>each of the impact areas, and assign it an impact value. The impact values are shown below:</w:t>
            </w:r>
          </w:p>
          <w:p w:rsidR="006A6EB8" w:rsidRDefault="006A6EB8" w:rsidP="006A6EB8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1945" w:type="dxa"/>
              <w:tblLook w:val="04A0" w:firstRow="1" w:lastRow="0" w:firstColumn="1" w:lastColumn="0" w:noHBand="0" w:noVBand="1"/>
            </w:tblPr>
            <w:tblGrid>
              <w:gridCol w:w="1260"/>
              <w:gridCol w:w="1466"/>
            </w:tblGrid>
            <w:tr w:rsidR="006A6EB8" w:rsidTr="00130E99">
              <w:tc>
                <w:tcPr>
                  <w:tcW w:w="1260" w:type="dxa"/>
                  <w:shd w:val="clear" w:color="auto" w:fill="D9D9D9" w:themeFill="background1" w:themeFillShade="D9"/>
                </w:tcPr>
                <w:p w:rsidR="006A6EB8" w:rsidRPr="00130E99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 w:rsidRPr="00130E99"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Impact</w:t>
                  </w:r>
                </w:p>
              </w:tc>
              <w:tc>
                <w:tcPr>
                  <w:tcW w:w="1466" w:type="dxa"/>
                  <w:shd w:val="clear" w:color="auto" w:fill="D9D9D9" w:themeFill="background1" w:themeFillShade="D9"/>
                </w:tcPr>
                <w:p w:rsidR="006A6EB8" w:rsidRPr="00130E99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 w:rsidRPr="00130E99"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Value</w:t>
                  </w:r>
                </w:p>
              </w:tc>
            </w:tr>
            <w:tr w:rsidR="006A6EB8" w:rsidTr="00056DB9">
              <w:tc>
                <w:tcPr>
                  <w:tcW w:w="1260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No Impact</w:t>
                  </w:r>
                </w:p>
              </w:tc>
              <w:tc>
                <w:tcPr>
                  <w:tcW w:w="1466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6A6EB8" w:rsidTr="00056DB9">
              <w:tc>
                <w:tcPr>
                  <w:tcW w:w="1260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1466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6A6EB8" w:rsidTr="00056DB9">
              <w:tc>
                <w:tcPr>
                  <w:tcW w:w="1260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1466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6A6EB8" w:rsidTr="00056DB9">
              <w:tc>
                <w:tcPr>
                  <w:tcW w:w="1260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1466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6A6EB8" w:rsidRDefault="006A6EB8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p w:rsidR="001901D2" w:rsidRDefault="006A6EB8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Multiply the </w:t>
            </w:r>
            <w:r w:rsidR="00075FEB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priority of an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impact area and </w:t>
            </w:r>
            <w:r w:rsidR="00075FEB">
              <w:rPr>
                <w:rFonts w:ascii="Verdana" w:hAnsi="Verdana"/>
                <w:bCs/>
                <w:color w:val="000000"/>
                <w:sz w:val="18"/>
                <w:szCs w:val="18"/>
              </w:rPr>
              <w:t>its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impact value, and sum up all the products to obtain the </w:t>
            </w:r>
            <w:r w:rsidR="00130E99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Relative </w:t>
            </w:r>
            <w:r w:rsidR="00C05F6C">
              <w:rPr>
                <w:rFonts w:ascii="Verdana" w:hAnsi="Verdana"/>
                <w:bCs/>
                <w:color w:val="000000"/>
                <w:sz w:val="18"/>
                <w:szCs w:val="18"/>
              </w:rPr>
              <w:t>Risk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Score </w:t>
            </w:r>
            <w:r w:rsidR="00075FEB">
              <w:rPr>
                <w:rFonts w:ascii="Verdana" w:hAnsi="Verdana"/>
                <w:bCs/>
                <w:color w:val="000000"/>
                <w:sz w:val="18"/>
                <w:szCs w:val="18"/>
              </w:rPr>
              <w:t>for the risk.</w:t>
            </w:r>
          </w:p>
          <w:p w:rsidR="00130E99" w:rsidRDefault="00130E99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p w:rsidR="00A26C0E" w:rsidRDefault="00130E99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Example:</w:t>
            </w:r>
            <w:r w:rsidR="00A26C0E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</w:t>
            </w:r>
          </w:p>
          <w:p w:rsidR="00130E99" w:rsidRDefault="00A26C0E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        Risk – Inadvertent modification of EPICS channel values </w:t>
            </w:r>
          </w:p>
          <w:p w:rsidR="00130E99" w:rsidRDefault="00130E99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2160"/>
              <w:gridCol w:w="1170"/>
              <w:gridCol w:w="1440"/>
              <w:gridCol w:w="810"/>
            </w:tblGrid>
            <w:tr w:rsidR="00130E99" w:rsidTr="00130E99">
              <w:tc>
                <w:tcPr>
                  <w:tcW w:w="2160" w:type="dxa"/>
                  <w:shd w:val="clear" w:color="auto" w:fill="D9D9D9" w:themeFill="background1" w:themeFillShade="D9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 xml:space="preserve">Impact Area (IA) </w:t>
                  </w:r>
                </w:p>
              </w:tc>
              <w:tc>
                <w:tcPr>
                  <w:tcW w:w="1170" w:type="dxa"/>
                  <w:shd w:val="clear" w:color="auto" w:fill="D9D9D9" w:themeFill="background1" w:themeFillShade="D9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IA Priority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Impact Value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Score</w:t>
                  </w:r>
                </w:p>
              </w:tc>
            </w:tr>
            <w:tr w:rsidR="00130E99" w:rsidTr="00130E99">
              <w:tc>
                <w:tcPr>
                  <w:tcW w:w="216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Safety and Health</w:t>
                  </w:r>
                </w:p>
              </w:tc>
              <w:tc>
                <w:tcPr>
                  <w:tcW w:w="117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44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Low (1)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130E99" w:rsidTr="00130E99">
              <w:tc>
                <w:tcPr>
                  <w:tcW w:w="216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Reputation</w:t>
                  </w:r>
                </w:p>
              </w:tc>
              <w:tc>
                <w:tcPr>
                  <w:tcW w:w="117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Med (2)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8</w:t>
                  </w:r>
                </w:p>
              </w:tc>
            </w:tr>
            <w:tr w:rsidR="00130E99" w:rsidTr="00130E99">
              <w:tc>
                <w:tcPr>
                  <w:tcW w:w="216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Financial</w:t>
                  </w:r>
                </w:p>
              </w:tc>
              <w:tc>
                <w:tcPr>
                  <w:tcW w:w="117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High (3)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9</w:t>
                  </w:r>
                </w:p>
              </w:tc>
            </w:tr>
            <w:tr w:rsidR="00130E99" w:rsidTr="00130E99">
              <w:tc>
                <w:tcPr>
                  <w:tcW w:w="216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Legal</w:t>
                  </w:r>
                </w:p>
              </w:tc>
              <w:tc>
                <w:tcPr>
                  <w:tcW w:w="117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None (0)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130E99" w:rsidTr="00130E99">
              <w:tc>
                <w:tcPr>
                  <w:tcW w:w="216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Productivity</w:t>
                  </w:r>
                </w:p>
              </w:tc>
              <w:tc>
                <w:tcPr>
                  <w:tcW w:w="117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Low (1)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130E99" w:rsidTr="006151D7">
              <w:tc>
                <w:tcPr>
                  <w:tcW w:w="4770" w:type="dxa"/>
                  <w:gridSpan w:val="3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Relative Risk Score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23</w:t>
                  </w:r>
                </w:p>
              </w:tc>
            </w:tr>
          </w:tbl>
          <w:p w:rsidR="00130E99" w:rsidRDefault="00130E99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p w:rsidR="006A6EB8" w:rsidRPr="003F553F" w:rsidRDefault="006A6EB8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</w:tc>
      </w:tr>
      <w:tr w:rsidR="005D349A" w:rsidTr="003D3B53">
        <w:trPr>
          <w:trHeight w:val="2265"/>
        </w:trPr>
        <w:tc>
          <w:tcPr>
            <w:tcW w:w="0" w:type="auto"/>
          </w:tcPr>
          <w:p w:rsidR="005D349A" w:rsidRDefault="005D349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5D349A" w:rsidRDefault="005D349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</w:tcPr>
          <w:p w:rsidR="005D349A" w:rsidRDefault="0031571B" w:rsidP="00E5513A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Select Mitigation Approach. </w:t>
            </w:r>
            <w:r w:rsidR="00C05F6C">
              <w:rPr>
                <w:rFonts w:ascii="Verdana" w:hAnsi="Verdana"/>
                <w:bCs/>
                <w:color w:val="000000"/>
                <w:sz w:val="18"/>
                <w:szCs w:val="18"/>
              </w:rPr>
              <w:t>Based on the</w:t>
            </w:r>
            <w:r w:rsidR="00A96019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relative</w:t>
            </w:r>
            <w:r w:rsidR="00C05F6C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risk score and probability </w:t>
            </w:r>
            <w:r w:rsidR="00E5513A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of risk occurrence, categorize the risks by using the </w:t>
            </w:r>
            <w:r w:rsidR="00A32F0F">
              <w:rPr>
                <w:rFonts w:ascii="Verdana" w:hAnsi="Verdana"/>
                <w:bCs/>
                <w:color w:val="000000"/>
                <w:sz w:val="18"/>
                <w:szCs w:val="18"/>
              </w:rPr>
              <w:t>Relative Risk Matrix</w:t>
            </w:r>
            <w:r w:rsidR="000E656A">
              <w:rPr>
                <w:rFonts w:ascii="Verdana" w:hAnsi="Verdana"/>
                <w:bCs/>
                <w:color w:val="000000"/>
                <w:sz w:val="18"/>
                <w:szCs w:val="18"/>
              </w:rPr>
              <w:t>. Here is an example of such a matrix:</w:t>
            </w:r>
          </w:p>
          <w:p w:rsidR="00A32F0F" w:rsidRDefault="00A32F0F" w:rsidP="00E5513A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26"/>
              <w:gridCol w:w="974"/>
              <w:gridCol w:w="1080"/>
              <w:gridCol w:w="1080"/>
              <w:gridCol w:w="1170"/>
            </w:tblGrid>
            <w:tr w:rsidR="003D3B53" w:rsidTr="00ED0081">
              <w:trPr>
                <w:jc w:val="center"/>
              </w:trPr>
              <w:tc>
                <w:tcPr>
                  <w:tcW w:w="1426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3D3B53" w:rsidRDefault="003D3B53" w:rsidP="003D3B53">
                  <w:pPr>
                    <w:jc w:val="center"/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Probability</w:t>
                  </w:r>
                </w:p>
              </w:tc>
              <w:tc>
                <w:tcPr>
                  <w:tcW w:w="4304" w:type="dxa"/>
                  <w:gridSpan w:val="4"/>
                  <w:shd w:val="clear" w:color="auto" w:fill="D9D9D9" w:themeFill="background1" w:themeFillShade="D9"/>
                </w:tcPr>
                <w:p w:rsidR="003D3B53" w:rsidRDefault="003D3B53" w:rsidP="003D3B53">
                  <w:pPr>
                    <w:jc w:val="center"/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Relative Risk Score</w:t>
                  </w:r>
                </w:p>
              </w:tc>
            </w:tr>
            <w:tr w:rsidR="003D3B53" w:rsidTr="00ED0081">
              <w:trPr>
                <w:jc w:val="center"/>
              </w:trPr>
              <w:tc>
                <w:tcPr>
                  <w:tcW w:w="1426" w:type="dxa"/>
                  <w:vMerge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4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60+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40 to 59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20 to 39</w:t>
                  </w:r>
                </w:p>
              </w:tc>
              <w:tc>
                <w:tcPr>
                  <w:tcW w:w="1170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0 to 19</w:t>
                  </w:r>
                </w:p>
              </w:tc>
            </w:tr>
            <w:tr w:rsidR="003D3B53" w:rsidTr="00ED0081">
              <w:trPr>
                <w:jc w:val="center"/>
              </w:trPr>
              <w:tc>
                <w:tcPr>
                  <w:tcW w:w="1426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974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</w:t>
                  </w:r>
                </w:p>
              </w:tc>
              <w:tc>
                <w:tcPr>
                  <w:tcW w:w="117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III</w:t>
                  </w:r>
                </w:p>
              </w:tc>
            </w:tr>
            <w:tr w:rsidR="003D3B53" w:rsidTr="00ED0081">
              <w:trPr>
                <w:jc w:val="center"/>
              </w:trPr>
              <w:tc>
                <w:tcPr>
                  <w:tcW w:w="1426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974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</w:t>
                  </w:r>
                </w:p>
              </w:tc>
              <w:tc>
                <w:tcPr>
                  <w:tcW w:w="1170" w:type="dxa"/>
                </w:tcPr>
                <w:p w:rsidR="003D3B53" w:rsidRDefault="00081690" w:rsidP="00081690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IV</w:t>
                  </w:r>
                </w:p>
              </w:tc>
            </w:tr>
            <w:tr w:rsidR="003D3B53" w:rsidTr="00ED0081">
              <w:trPr>
                <w:jc w:val="center"/>
              </w:trPr>
              <w:tc>
                <w:tcPr>
                  <w:tcW w:w="1426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974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III</w:t>
                  </w:r>
                </w:p>
              </w:tc>
              <w:tc>
                <w:tcPr>
                  <w:tcW w:w="1170" w:type="dxa"/>
                </w:tcPr>
                <w:p w:rsidR="003D3B53" w:rsidRDefault="00081690" w:rsidP="00081690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IV</w:t>
                  </w:r>
                </w:p>
              </w:tc>
            </w:tr>
          </w:tbl>
          <w:p w:rsidR="00E5513A" w:rsidRDefault="00E5513A" w:rsidP="00E5513A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p w:rsidR="00E5513A" w:rsidRDefault="00E5513A" w:rsidP="00E5513A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Based on the risk category from the above matrix, choose one of the following mitigation strategies:</w:t>
            </w:r>
          </w:p>
          <w:p w:rsidR="00E5513A" w:rsidRDefault="00E5513A" w:rsidP="00E5513A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E5513A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Accept: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Accept the consequences by taking no action. Risks that are accepted should have low impact (low risk score).</w:t>
            </w:r>
          </w:p>
          <w:p w:rsidR="00E5513A" w:rsidRDefault="00E5513A" w:rsidP="00E5513A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E5513A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Mitigate: Implement controls to counter the underlying threat or minimize the impact or both. </w:t>
            </w:r>
            <w:r w:rsidR="00051662">
              <w:rPr>
                <w:rFonts w:ascii="Verdana" w:hAnsi="Verdana"/>
                <w:bCs/>
                <w:color w:val="000000"/>
                <w:sz w:val="18"/>
                <w:szCs w:val="18"/>
              </w:rPr>
              <w:t>Some risks may be transferred to other parties (for example by purchasing insurance).</w:t>
            </w:r>
          </w:p>
          <w:p w:rsidR="00E5513A" w:rsidRDefault="00E5513A" w:rsidP="00E5513A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Defer: </w:t>
            </w:r>
            <w:r w:rsidR="00051662">
              <w:rPr>
                <w:rFonts w:ascii="Verdana" w:hAnsi="Verdana"/>
                <w:bCs/>
                <w:color w:val="000000"/>
                <w:sz w:val="18"/>
                <w:szCs w:val="18"/>
              </w:rPr>
              <w:t>Risk is neither mitigated nor deferred because additional analysis needs to be performed. Deferred risks are monitored and re-evaluated in future.</w:t>
            </w:r>
          </w:p>
          <w:p w:rsidR="00ED0081" w:rsidRPr="00E5513A" w:rsidRDefault="00ED0081" w:rsidP="00ED0081">
            <w:pPr>
              <w:pStyle w:val="ListParagraph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</w:tc>
      </w:tr>
    </w:tbl>
    <w:p w:rsidR="004D5E42" w:rsidRDefault="004D5E42" w:rsidP="00AB1829">
      <w:pPr>
        <w:ind w:left="720"/>
      </w:pPr>
    </w:p>
    <w:p w:rsidR="004D5E42" w:rsidRDefault="004D5E42" w:rsidP="00AB1829">
      <w:pPr>
        <w:ind w:left="720"/>
      </w:pPr>
    </w:p>
    <w:p w:rsidR="00AB1829" w:rsidRPr="009768A4" w:rsidRDefault="00AB1829" w:rsidP="00AB1829">
      <w:pPr>
        <w:ind w:left="720"/>
      </w:pPr>
    </w:p>
    <w:p w:rsidR="008F3E96" w:rsidRDefault="008F3E96" w:rsidP="008D5C4F">
      <w:pPr>
        <w:pStyle w:val="Heading1"/>
      </w:pPr>
      <w:r>
        <w:t>Outputs</w:t>
      </w:r>
    </w:p>
    <w:p w:rsidR="00DF7950" w:rsidRDefault="00522EBF" w:rsidP="00DF7950">
      <w:pPr>
        <w:pStyle w:val="ListParagraph"/>
        <w:numPr>
          <w:ilvl w:val="0"/>
          <w:numId w:val="24"/>
        </w:numPr>
      </w:pPr>
      <w:r>
        <w:t>Updated Asset and Risk Profile</w:t>
      </w:r>
      <w:r w:rsidR="009F25B4">
        <w:t xml:space="preserve"> </w:t>
      </w:r>
    </w:p>
    <w:p w:rsidR="008F3E96" w:rsidRDefault="008F3E96" w:rsidP="008D5C4F">
      <w:pPr>
        <w:pStyle w:val="Heading1"/>
      </w:pPr>
      <w:r>
        <w:t>Exit Criteria</w:t>
      </w:r>
    </w:p>
    <w:p w:rsidR="008F3E96" w:rsidRPr="008F3E96" w:rsidRDefault="0003341A" w:rsidP="0003341A">
      <w:pPr>
        <w:pStyle w:val="ListParagraph"/>
        <w:numPr>
          <w:ilvl w:val="0"/>
          <w:numId w:val="24"/>
        </w:numPr>
      </w:pPr>
      <w:r>
        <w:t>Updated Asset and Risk Profile is approved by the Information Security Board</w:t>
      </w:r>
    </w:p>
    <w:p w:rsidR="00C955A7" w:rsidRDefault="00C955A7" w:rsidP="008D5C4F">
      <w:pPr>
        <w:pStyle w:val="Heading1"/>
      </w:pPr>
      <w:r w:rsidRPr="008D5C4F">
        <w:t>Exceptions</w:t>
      </w:r>
    </w:p>
    <w:p w:rsidR="002B38C4" w:rsidRPr="002B38C4" w:rsidRDefault="002B38C4" w:rsidP="002B38C4">
      <w:pPr>
        <w:pStyle w:val="ListParagraph"/>
      </w:pPr>
      <w:r>
        <w:lastRenderedPageBreak/>
        <w:t>All exceptions must be approved by the Electronics Department Head.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P501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15615E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Asset Risk Profile, R01-Asset-Risk-Profile.xlsx</w:t>
      </w:r>
      <w:r w:rsidR="004D5E42" w:rsidRPr="004D5E42">
        <w:rPr>
          <w:i/>
        </w:rPr>
        <w:t>,</w:t>
      </w:r>
      <w:r w:rsidR="0015615E">
        <w:t xml:space="preserve"> NSCL Document Server, Electronics Folder</w:t>
      </w:r>
    </w:p>
    <w:p w:rsidR="00BF74EC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NSCL Quality Policy and Objectives</w:t>
      </w:r>
      <w:r w:rsidR="00BF74EC">
        <w:t xml:space="preserve">,  NSCL Document Server, </w:t>
      </w:r>
      <w:r>
        <w:t>QMS</w:t>
      </w:r>
      <w:r w:rsidR="00BF74EC">
        <w:t xml:space="preserve"> Folder</w:t>
      </w:r>
    </w:p>
    <w:p w:rsidR="00DA5F8E" w:rsidRPr="00110CAB" w:rsidRDefault="00DA5F8E" w:rsidP="00DA5F8E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E3F" w:rsidRDefault="00FB7E3F" w:rsidP="00FF7BA7">
      <w:r>
        <w:separator/>
      </w:r>
    </w:p>
  </w:endnote>
  <w:endnote w:type="continuationSeparator" w:id="0">
    <w:p w:rsidR="00FB7E3F" w:rsidRDefault="00FB7E3F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E04718" w:rsidRDefault="00E04718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 w:rsidP="00474AB6">
    <w:pPr>
      <w:rPr>
        <w:sz w:val="20"/>
      </w:rPr>
    </w:pPr>
  </w:p>
  <w:p w:rsidR="00E04718" w:rsidRDefault="00FB7E3F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E04718" w:rsidRDefault="00E04718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225D9A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225D9A">
          <w:rPr>
            <w:noProof/>
            <w:sz w:val="20"/>
          </w:rPr>
          <w:t>4</w:t>
        </w:r>
        <w:r w:rsidRPr="00BB7DEC">
          <w:rPr>
            <w:sz w:val="20"/>
          </w:rPr>
          <w:fldChar w:fldCharType="end"/>
        </w:r>
      </w:sdtContent>
    </w:sdt>
  </w:p>
  <w:p w:rsidR="00E04718" w:rsidRDefault="00E04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rPr>
        <w:sz w:val="20"/>
      </w:rPr>
    </w:pPr>
  </w:p>
  <w:p w:rsidR="00E04718" w:rsidRDefault="00FB7E3F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E04718" w:rsidRDefault="00E04718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225D9A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225D9A">
          <w:rPr>
            <w:noProof/>
            <w:sz w:val="20"/>
          </w:rPr>
          <w:t>4</w:t>
        </w:r>
        <w:r w:rsidRPr="00BB7DEC">
          <w:rPr>
            <w:sz w:val="20"/>
          </w:rPr>
          <w:fldChar w:fldCharType="end"/>
        </w:r>
      </w:sdtContent>
    </w:sdt>
  </w:p>
  <w:p w:rsidR="00E04718" w:rsidRPr="00BB7DEC" w:rsidRDefault="00E0471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E3F" w:rsidRDefault="00FB7E3F" w:rsidP="00FF7BA7">
      <w:r>
        <w:separator/>
      </w:r>
    </w:p>
  </w:footnote>
  <w:footnote w:type="continuationSeparator" w:id="0">
    <w:p w:rsidR="00FB7E3F" w:rsidRDefault="00FB7E3F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pStyle w:val="Header"/>
    </w:pPr>
  </w:p>
  <w:p w:rsidR="00E04718" w:rsidRDefault="00E04718">
    <w:pPr>
      <w:pStyle w:val="Header"/>
    </w:pPr>
  </w:p>
  <w:p w:rsidR="00E04718" w:rsidRDefault="00E047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E04718" w:rsidTr="00C955A7">
      <w:trPr>
        <w:cantSplit/>
        <w:trHeight w:val="530"/>
      </w:trPr>
      <w:tc>
        <w:tcPr>
          <w:tcW w:w="2808" w:type="dxa"/>
          <w:vMerge w:val="restart"/>
        </w:tcPr>
        <w:p w:rsidR="00E04718" w:rsidRDefault="00E04718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0EB86C00" wp14:editId="5413F312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1C60E6C9" wp14:editId="4C82806A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E04718" w:rsidRDefault="00E04718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0203A0" w:rsidRPr="00681C88" w:rsidRDefault="000203A0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EE-ISMS-W</w:t>
          </w:r>
          <w:r w:rsidR="00076D19">
            <w:rPr>
              <w:rFonts w:ascii="Arial" w:hAnsi="Arial" w:cs="Arial"/>
              <w:b/>
              <w:sz w:val="22"/>
              <w:szCs w:val="22"/>
            </w:rPr>
            <w:t>0401</w:t>
          </w:r>
        </w:p>
        <w:p w:rsidR="00E04718" w:rsidRPr="00681C88" w:rsidRDefault="00E04718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E04718" w:rsidRPr="00681C88" w:rsidRDefault="00E04718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E04718" w:rsidRPr="00681C88" w:rsidRDefault="00E04718" w:rsidP="00C955A7">
          <w:pPr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30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Pr="00681C88" w:rsidRDefault="00E04718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E04718" w:rsidRDefault="00E04718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E04718" w:rsidTr="00C955A7">
      <w:trPr>
        <w:cantSplit/>
        <w:trHeight w:val="591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73"/>
      </w:trPr>
      <w:tc>
        <w:tcPr>
          <w:tcW w:w="9918" w:type="dxa"/>
          <w:gridSpan w:val="5"/>
        </w:tcPr>
        <w:p w:rsidR="00E04718" w:rsidRDefault="00E04718" w:rsidP="00C955A7">
          <w:pPr>
            <w:rPr>
              <w:rFonts w:ascii="Arial" w:hAnsi="Arial" w:cs="Arial"/>
              <w:sz w:val="16"/>
            </w:rPr>
          </w:pPr>
        </w:p>
        <w:p w:rsidR="00E04718" w:rsidRDefault="00E04718" w:rsidP="00076D19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076D19">
            <w:rPr>
              <w:rFonts w:ascii="Arial" w:hAnsi="Arial" w:cs="Arial"/>
              <w:szCs w:val="24"/>
            </w:rPr>
            <w:t>Risk Assessment</w:t>
          </w:r>
        </w:p>
      </w:tc>
    </w:tr>
  </w:tbl>
  <w:p w:rsidR="00E04718" w:rsidRDefault="00E04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12359"/>
    <w:multiLevelType w:val="hybridMultilevel"/>
    <w:tmpl w:val="AA645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3249A7"/>
    <w:multiLevelType w:val="hybridMultilevel"/>
    <w:tmpl w:val="A5F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750D0"/>
    <w:multiLevelType w:val="hybridMultilevel"/>
    <w:tmpl w:val="E28E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3">
    <w:nsid w:val="39664B08"/>
    <w:multiLevelType w:val="hybridMultilevel"/>
    <w:tmpl w:val="86AE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4440C"/>
    <w:multiLevelType w:val="hybridMultilevel"/>
    <w:tmpl w:val="74288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7A4EFD"/>
    <w:multiLevelType w:val="hybridMultilevel"/>
    <w:tmpl w:val="24E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3114E"/>
    <w:multiLevelType w:val="hybridMultilevel"/>
    <w:tmpl w:val="23AC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8459D"/>
    <w:multiLevelType w:val="hybridMultilevel"/>
    <w:tmpl w:val="D8A8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8D41FC"/>
    <w:multiLevelType w:val="multilevel"/>
    <w:tmpl w:val="464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1">
    <w:nsid w:val="5A8864E8"/>
    <w:multiLevelType w:val="hybridMultilevel"/>
    <w:tmpl w:val="C78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F7E59"/>
    <w:multiLevelType w:val="hybridMultilevel"/>
    <w:tmpl w:val="CBE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4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6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DF52832"/>
    <w:multiLevelType w:val="hybridMultilevel"/>
    <w:tmpl w:val="7470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9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0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2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30"/>
  </w:num>
  <w:num w:numId="3">
    <w:abstractNumId w:val="0"/>
  </w:num>
  <w:num w:numId="4">
    <w:abstractNumId w:val="18"/>
  </w:num>
  <w:num w:numId="5">
    <w:abstractNumId w:val="8"/>
  </w:num>
  <w:num w:numId="6">
    <w:abstractNumId w:val="20"/>
  </w:num>
  <w:num w:numId="7">
    <w:abstractNumId w:val="32"/>
  </w:num>
  <w:num w:numId="8">
    <w:abstractNumId w:val="1"/>
  </w:num>
  <w:num w:numId="9">
    <w:abstractNumId w:val="7"/>
  </w:num>
  <w:num w:numId="10">
    <w:abstractNumId w:val="12"/>
  </w:num>
  <w:num w:numId="11">
    <w:abstractNumId w:val="31"/>
  </w:num>
  <w:num w:numId="12">
    <w:abstractNumId w:val="24"/>
  </w:num>
  <w:num w:numId="13">
    <w:abstractNumId w:val="26"/>
  </w:num>
  <w:num w:numId="14">
    <w:abstractNumId w:val="29"/>
  </w:num>
  <w:num w:numId="15">
    <w:abstractNumId w:val="28"/>
  </w:num>
  <w:num w:numId="16">
    <w:abstractNumId w:val="23"/>
  </w:num>
  <w:num w:numId="17">
    <w:abstractNumId w:val="25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5"/>
  </w:num>
  <w:num w:numId="23">
    <w:abstractNumId w:val="22"/>
  </w:num>
  <w:num w:numId="24">
    <w:abstractNumId w:val="14"/>
  </w:num>
  <w:num w:numId="25">
    <w:abstractNumId w:val="19"/>
  </w:num>
  <w:num w:numId="26">
    <w:abstractNumId w:val="9"/>
  </w:num>
  <w:num w:numId="27">
    <w:abstractNumId w:val="17"/>
  </w:num>
  <w:num w:numId="28">
    <w:abstractNumId w:val="21"/>
  </w:num>
  <w:num w:numId="29">
    <w:abstractNumId w:val="13"/>
  </w:num>
  <w:num w:numId="30">
    <w:abstractNumId w:val="11"/>
  </w:num>
  <w:num w:numId="31">
    <w:abstractNumId w:val="10"/>
  </w:num>
  <w:num w:numId="32">
    <w:abstractNumId w:val="27"/>
  </w:num>
  <w:num w:numId="33">
    <w:abstractNumId w:val="1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597C"/>
    <w:rsid w:val="000203A0"/>
    <w:rsid w:val="00025528"/>
    <w:rsid w:val="00033060"/>
    <w:rsid w:val="0003341A"/>
    <w:rsid w:val="0003348F"/>
    <w:rsid w:val="00037482"/>
    <w:rsid w:val="000447B5"/>
    <w:rsid w:val="0004764B"/>
    <w:rsid w:val="00051662"/>
    <w:rsid w:val="00075FEB"/>
    <w:rsid w:val="00076D19"/>
    <w:rsid w:val="00081690"/>
    <w:rsid w:val="000B381A"/>
    <w:rsid w:val="000C3B62"/>
    <w:rsid w:val="000E189E"/>
    <w:rsid w:val="000E287E"/>
    <w:rsid w:val="000E656A"/>
    <w:rsid w:val="00110CAB"/>
    <w:rsid w:val="00130314"/>
    <w:rsid w:val="00130E99"/>
    <w:rsid w:val="00144856"/>
    <w:rsid w:val="00153601"/>
    <w:rsid w:val="0015615E"/>
    <w:rsid w:val="001901D2"/>
    <w:rsid w:val="001A275C"/>
    <w:rsid w:val="001A5F83"/>
    <w:rsid w:val="001B77A9"/>
    <w:rsid w:val="001C5E2B"/>
    <w:rsid w:val="00225332"/>
    <w:rsid w:val="00225D9A"/>
    <w:rsid w:val="00234F4D"/>
    <w:rsid w:val="00277818"/>
    <w:rsid w:val="00282B0D"/>
    <w:rsid w:val="002A08F4"/>
    <w:rsid w:val="002A1531"/>
    <w:rsid w:val="002B38C4"/>
    <w:rsid w:val="002E1442"/>
    <w:rsid w:val="0030055B"/>
    <w:rsid w:val="0031571B"/>
    <w:rsid w:val="003512F7"/>
    <w:rsid w:val="00371B2F"/>
    <w:rsid w:val="00375E14"/>
    <w:rsid w:val="003C7115"/>
    <w:rsid w:val="003D3B53"/>
    <w:rsid w:val="003D475D"/>
    <w:rsid w:val="003D793D"/>
    <w:rsid w:val="003E3524"/>
    <w:rsid w:val="003F553F"/>
    <w:rsid w:val="00412C8D"/>
    <w:rsid w:val="0043657C"/>
    <w:rsid w:val="004606B8"/>
    <w:rsid w:val="004670E4"/>
    <w:rsid w:val="00474AB6"/>
    <w:rsid w:val="00487D97"/>
    <w:rsid w:val="004A6FAC"/>
    <w:rsid w:val="004B6721"/>
    <w:rsid w:val="004B7255"/>
    <w:rsid w:val="004D2199"/>
    <w:rsid w:val="004D5E42"/>
    <w:rsid w:val="004D77C2"/>
    <w:rsid w:val="00516D84"/>
    <w:rsid w:val="00520593"/>
    <w:rsid w:val="00520CD6"/>
    <w:rsid w:val="00522EBF"/>
    <w:rsid w:val="00542117"/>
    <w:rsid w:val="00543A97"/>
    <w:rsid w:val="00556890"/>
    <w:rsid w:val="005A3E81"/>
    <w:rsid w:val="005D349A"/>
    <w:rsid w:val="005F3B83"/>
    <w:rsid w:val="00617D01"/>
    <w:rsid w:val="00670CD9"/>
    <w:rsid w:val="006816DA"/>
    <w:rsid w:val="0068569D"/>
    <w:rsid w:val="00687C4D"/>
    <w:rsid w:val="006A6EB8"/>
    <w:rsid w:val="006C7B65"/>
    <w:rsid w:val="006E00B4"/>
    <w:rsid w:val="006E78F9"/>
    <w:rsid w:val="007327B3"/>
    <w:rsid w:val="0073591C"/>
    <w:rsid w:val="007370F1"/>
    <w:rsid w:val="007846DC"/>
    <w:rsid w:val="0078689A"/>
    <w:rsid w:val="0080055B"/>
    <w:rsid w:val="008156F8"/>
    <w:rsid w:val="00825D8E"/>
    <w:rsid w:val="00827105"/>
    <w:rsid w:val="00836D91"/>
    <w:rsid w:val="008C2137"/>
    <w:rsid w:val="008D2393"/>
    <w:rsid w:val="008D5C4F"/>
    <w:rsid w:val="008F3E96"/>
    <w:rsid w:val="009047A6"/>
    <w:rsid w:val="00910917"/>
    <w:rsid w:val="00963EDD"/>
    <w:rsid w:val="009768A4"/>
    <w:rsid w:val="00986910"/>
    <w:rsid w:val="009B4B9F"/>
    <w:rsid w:val="009C5E10"/>
    <w:rsid w:val="009C6D3D"/>
    <w:rsid w:val="009F25B4"/>
    <w:rsid w:val="00A26C0E"/>
    <w:rsid w:val="00A32F0F"/>
    <w:rsid w:val="00A90E40"/>
    <w:rsid w:val="00A96019"/>
    <w:rsid w:val="00AA4A63"/>
    <w:rsid w:val="00AB1829"/>
    <w:rsid w:val="00AC13C1"/>
    <w:rsid w:val="00AD3DC8"/>
    <w:rsid w:val="00AF0441"/>
    <w:rsid w:val="00AF06ED"/>
    <w:rsid w:val="00B22010"/>
    <w:rsid w:val="00B514BA"/>
    <w:rsid w:val="00B61303"/>
    <w:rsid w:val="00B63306"/>
    <w:rsid w:val="00B64BB4"/>
    <w:rsid w:val="00B827FC"/>
    <w:rsid w:val="00B8430C"/>
    <w:rsid w:val="00B86A81"/>
    <w:rsid w:val="00B96BE5"/>
    <w:rsid w:val="00BB7DEC"/>
    <w:rsid w:val="00BC56F0"/>
    <w:rsid w:val="00BD25FE"/>
    <w:rsid w:val="00BD4716"/>
    <w:rsid w:val="00BE1410"/>
    <w:rsid w:val="00BF74EC"/>
    <w:rsid w:val="00C02A2D"/>
    <w:rsid w:val="00C05F6C"/>
    <w:rsid w:val="00C102EF"/>
    <w:rsid w:val="00C34921"/>
    <w:rsid w:val="00C648A3"/>
    <w:rsid w:val="00C67C0F"/>
    <w:rsid w:val="00C72283"/>
    <w:rsid w:val="00C76BF7"/>
    <w:rsid w:val="00C8049D"/>
    <w:rsid w:val="00C91376"/>
    <w:rsid w:val="00C955A7"/>
    <w:rsid w:val="00CA0EBB"/>
    <w:rsid w:val="00CA7DD1"/>
    <w:rsid w:val="00CB3324"/>
    <w:rsid w:val="00CB5872"/>
    <w:rsid w:val="00CC44B2"/>
    <w:rsid w:val="00CD7F99"/>
    <w:rsid w:val="00CE1C50"/>
    <w:rsid w:val="00D0462F"/>
    <w:rsid w:val="00D14082"/>
    <w:rsid w:val="00D347CF"/>
    <w:rsid w:val="00D40075"/>
    <w:rsid w:val="00D52395"/>
    <w:rsid w:val="00D546BC"/>
    <w:rsid w:val="00DA5F8E"/>
    <w:rsid w:val="00DC723E"/>
    <w:rsid w:val="00DD2198"/>
    <w:rsid w:val="00DF0D60"/>
    <w:rsid w:val="00DF7950"/>
    <w:rsid w:val="00E04718"/>
    <w:rsid w:val="00E10E5D"/>
    <w:rsid w:val="00E47697"/>
    <w:rsid w:val="00E47CBC"/>
    <w:rsid w:val="00E53992"/>
    <w:rsid w:val="00E5513A"/>
    <w:rsid w:val="00E73CA8"/>
    <w:rsid w:val="00E75B87"/>
    <w:rsid w:val="00E77334"/>
    <w:rsid w:val="00E86A18"/>
    <w:rsid w:val="00E92262"/>
    <w:rsid w:val="00EB7BBE"/>
    <w:rsid w:val="00EB7D60"/>
    <w:rsid w:val="00ED0081"/>
    <w:rsid w:val="00EE55BF"/>
    <w:rsid w:val="00F3795A"/>
    <w:rsid w:val="00F405F6"/>
    <w:rsid w:val="00F41E34"/>
    <w:rsid w:val="00F81062"/>
    <w:rsid w:val="00F90DD6"/>
    <w:rsid w:val="00FB7E3F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85810"/>
    <w:rsid w:val="0009735B"/>
    <w:rsid w:val="000B07AC"/>
    <w:rsid w:val="001D2D36"/>
    <w:rsid w:val="002026A5"/>
    <w:rsid w:val="002741A0"/>
    <w:rsid w:val="00385DF4"/>
    <w:rsid w:val="004F013F"/>
    <w:rsid w:val="005C5BB5"/>
    <w:rsid w:val="00620116"/>
    <w:rsid w:val="006660F0"/>
    <w:rsid w:val="007334E3"/>
    <w:rsid w:val="007B2313"/>
    <w:rsid w:val="00A80F29"/>
    <w:rsid w:val="00A8383E"/>
    <w:rsid w:val="00A85AE5"/>
    <w:rsid w:val="00B80F8D"/>
    <w:rsid w:val="00CC1EFB"/>
    <w:rsid w:val="00E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83</cp:revision>
  <dcterms:created xsi:type="dcterms:W3CDTF">2011-02-10T15:36:00Z</dcterms:created>
  <dcterms:modified xsi:type="dcterms:W3CDTF">2011-08-25T08:54:00Z</dcterms:modified>
</cp:coreProperties>
</file>